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B7" w:rsidRDefault="006E2A22" w:rsidP="006E2A22">
      <w:pPr>
        <w:pStyle w:val="2"/>
        <w:spacing w:line="360" w:lineRule="auto"/>
        <w:ind w:right="137"/>
        <w:rPr>
          <w:rFonts w:ascii="Times New Roman" w:hAnsi="Times New Roman"/>
          <w:sz w:val="24"/>
          <w:lang w:val="en-US"/>
        </w:rPr>
      </w:pPr>
      <w:r w:rsidRPr="006E2A22">
        <w:rPr>
          <w:rFonts w:ascii="Times New Roman" w:hAnsi="Times New Roman"/>
          <w:sz w:val="24"/>
          <w:lang w:val="en-US"/>
        </w:rPr>
        <w:t>THE MINISTRY OF HEALTH OF THE RUSSIAN FEDERATION</w:t>
      </w:r>
    </w:p>
    <w:p w:rsidR="006E2A22" w:rsidRPr="006E2A22" w:rsidRDefault="006E2A22" w:rsidP="006E2A22">
      <w:pPr>
        <w:rPr>
          <w:lang w:val="en-US"/>
        </w:rPr>
      </w:pPr>
    </w:p>
    <w:p w:rsidR="00BE1AB7" w:rsidRPr="00143088" w:rsidRDefault="00B304F5" w:rsidP="0059694E">
      <w:pPr>
        <w:pStyle w:val="2"/>
        <w:spacing w:line="360" w:lineRule="auto"/>
        <w:ind w:right="137"/>
        <w:rPr>
          <w:rFonts w:ascii="Times New Roman" w:hAnsi="Times New Roman"/>
          <w:sz w:val="24"/>
          <w:lang w:val="en-US"/>
        </w:rPr>
      </w:pPr>
      <w:r w:rsidRPr="00143088">
        <w:rPr>
          <w:rFonts w:ascii="Times New Roman" w:hAnsi="Times New Roman"/>
          <w:sz w:val="24"/>
          <w:lang w:val="en-US"/>
        </w:rPr>
        <w:t>PATIENT INFORMATION LEAFLET</w:t>
      </w:r>
    </w:p>
    <w:p w:rsidR="00143088" w:rsidRDefault="00B304F5" w:rsidP="00143088">
      <w:pPr>
        <w:spacing w:line="360" w:lineRule="auto"/>
        <w:ind w:right="137"/>
        <w:jc w:val="center"/>
        <w:rPr>
          <w:b/>
          <w:sz w:val="24"/>
          <w:szCs w:val="24"/>
          <w:lang w:val="en-US"/>
        </w:rPr>
      </w:pPr>
      <w:r w:rsidRPr="00143088">
        <w:rPr>
          <w:b/>
          <w:sz w:val="24"/>
          <w:szCs w:val="24"/>
          <w:lang w:val="en-US"/>
        </w:rPr>
        <w:t xml:space="preserve">FOR THE </w:t>
      </w:r>
      <w:r w:rsidR="00143088">
        <w:rPr>
          <w:b/>
          <w:sz w:val="24"/>
          <w:szCs w:val="24"/>
          <w:lang w:val="en-US"/>
        </w:rPr>
        <w:t xml:space="preserve">DRUG PRODUCT </w:t>
      </w:r>
    </w:p>
    <w:p w:rsidR="00BE1AB7" w:rsidRPr="00143088" w:rsidRDefault="00B304F5" w:rsidP="00143088">
      <w:pPr>
        <w:spacing w:line="360" w:lineRule="auto"/>
        <w:ind w:right="137"/>
        <w:jc w:val="center"/>
        <w:rPr>
          <w:b/>
          <w:sz w:val="24"/>
          <w:szCs w:val="24"/>
          <w:lang w:val="en-US"/>
        </w:rPr>
      </w:pPr>
      <w:r w:rsidRPr="00143088">
        <w:rPr>
          <w:b/>
          <w:sz w:val="24"/>
          <w:szCs w:val="24"/>
          <w:lang w:val="en-US"/>
        </w:rPr>
        <w:t>POLYOXIDONIUM</w:t>
      </w:r>
      <w:r w:rsidRPr="00143088">
        <w:rPr>
          <w:b/>
          <w:sz w:val="24"/>
          <w:szCs w:val="24"/>
          <w:vertAlign w:val="superscript"/>
          <w:lang w:val="en-US"/>
        </w:rPr>
        <w:t>®</w:t>
      </w:r>
      <w:r w:rsidRPr="00143088">
        <w:rPr>
          <w:b/>
          <w:sz w:val="24"/>
          <w:szCs w:val="24"/>
          <w:lang w:val="en-US"/>
        </w:rPr>
        <w:t xml:space="preserve"> </w:t>
      </w:r>
    </w:p>
    <w:p w:rsidR="00BE1AB7" w:rsidRPr="00143088" w:rsidRDefault="00BE1AB7" w:rsidP="005E7AF0">
      <w:pPr>
        <w:pStyle w:val="11"/>
        <w:spacing w:line="360" w:lineRule="auto"/>
        <w:ind w:right="-142"/>
        <w:rPr>
          <w:b/>
          <w:sz w:val="24"/>
          <w:szCs w:val="24"/>
          <w:lang w:val="en-US"/>
        </w:rPr>
      </w:pPr>
    </w:p>
    <w:p w:rsidR="00BE1AB7" w:rsidRPr="00143088" w:rsidRDefault="00B304F5" w:rsidP="00082D32">
      <w:pPr>
        <w:pStyle w:val="11"/>
        <w:spacing w:line="360" w:lineRule="auto"/>
        <w:rPr>
          <w:color w:val="000000"/>
          <w:sz w:val="24"/>
          <w:szCs w:val="24"/>
          <w:lang w:val="en-US"/>
        </w:rPr>
      </w:pPr>
      <w:r w:rsidRPr="00143088">
        <w:rPr>
          <w:b/>
          <w:color w:val="000000"/>
          <w:sz w:val="24"/>
          <w:szCs w:val="24"/>
          <w:lang w:val="en-US"/>
        </w:rPr>
        <w:t>Registration number:</w:t>
      </w:r>
      <w:r w:rsidRPr="00143088">
        <w:rPr>
          <w:color w:val="000000"/>
          <w:sz w:val="24"/>
          <w:szCs w:val="24"/>
          <w:lang w:val="en-US"/>
        </w:rPr>
        <w:t xml:space="preserve"> P N002935/02</w:t>
      </w:r>
    </w:p>
    <w:p w:rsidR="00BE1AB7" w:rsidRPr="00143088" w:rsidRDefault="00B304F5" w:rsidP="00082D32">
      <w:pPr>
        <w:pStyle w:val="11"/>
        <w:spacing w:line="360" w:lineRule="auto"/>
        <w:rPr>
          <w:color w:val="000000"/>
          <w:sz w:val="24"/>
          <w:szCs w:val="24"/>
          <w:lang w:val="en-US"/>
        </w:rPr>
      </w:pPr>
      <w:r w:rsidRPr="00143088">
        <w:rPr>
          <w:b/>
          <w:color w:val="000000"/>
          <w:sz w:val="24"/>
          <w:szCs w:val="24"/>
          <w:lang w:val="en-US"/>
        </w:rPr>
        <w:t xml:space="preserve">Trade name: </w:t>
      </w:r>
      <w:r w:rsidRPr="00143088">
        <w:rPr>
          <w:color w:val="000000"/>
          <w:sz w:val="24"/>
          <w:szCs w:val="24"/>
          <w:lang w:val="en-US"/>
        </w:rPr>
        <w:t>Polyoxidonium</w:t>
      </w:r>
      <w:r w:rsidRPr="00143088">
        <w:rPr>
          <w:b/>
          <w:color w:val="000000"/>
          <w:sz w:val="24"/>
          <w:szCs w:val="24"/>
          <w:vertAlign w:val="superscript"/>
          <w:lang w:val="en-US"/>
        </w:rPr>
        <w:t>®</w:t>
      </w:r>
      <w:r w:rsidRPr="00143088">
        <w:rPr>
          <w:b/>
          <w:color w:val="000000"/>
          <w:sz w:val="24"/>
          <w:szCs w:val="24"/>
          <w:lang w:val="en-US"/>
        </w:rPr>
        <w:t xml:space="preserve"> </w:t>
      </w:r>
    </w:p>
    <w:p w:rsidR="00491C45" w:rsidRPr="00143088" w:rsidRDefault="00B304F5" w:rsidP="00491C45">
      <w:pPr>
        <w:pStyle w:val="11"/>
        <w:spacing w:line="360" w:lineRule="auto"/>
        <w:jc w:val="both"/>
        <w:rPr>
          <w:b/>
          <w:color w:val="000000"/>
          <w:sz w:val="24"/>
          <w:szCs w:val="24"/>
          <w:lang w:val="en-US"/>
        </w:rPr>
      </w:pPr>
      <w:r w:rsidRPr="00143088">
        <w:rPr>
          <w:b/>
          <w:color w:val="000000"/>
          <w:sz w:val="24"/>
          <w:szCs w:val="24"/>
          <w:lang w:val="en-US"/>
        </w:rPr>
        <w:t xml:space="preserve">International nonproprietary name: </w:t>
      </w:r>
      <w:r w:rsidRPr="00143088">
        <w:rPr>
          <w:color w:val="000000"/>
          <w:sz w:val="24"/>
          <w:szCs w:val="24"/>
          <w:lang w:val="en-US"/>
        </w:rPr>
        <w:t>Azoximer bromide(А</w:t>
      </w:r>
      <w:r w:rsidRPr="00143088">
        <w:rPr>
          <w:sz w:val="24"/>
          <w:szCs w:val="24"/>
          <w:lang w:val="en-US"/>
        </w:rPr>
        <w:t>zoximeri bromidum)</w:t>
      </w:r>
    </w:p>
    <w:p w:rsidR="00BE1AB7" w:rsidRPr="00143088" w:rsidRDefault="00B304F5" w:rsidP="00082D32">
      <w:pPr>
        <w:pStyle w:val="11"/>
        <w:spacing w:line="360" w:lineRule="auto"/>
        <w:rPr>
          <w:color w:val="000000"/>
          <w:sz w:val="24"/>
          <w:szCs w:val="24"/>
          <w:lang w:val="en-US"/>
        </w:rPr>
      </w:pPr>
      <w:r w:rsidRPr="00143088">
        <w:rPr>
          <w:b/>
          <w:color w:val="000000"/>
          <w:sz w:val="24"/>
          <w:szCs w:val="24"/>
          <w:lang w:val="en-US"/>
        </w:rPr>
        <w:t>Chemical name:</w:t>
      </w:r>
      <w:r w:rsidRPr="00143088">
        <w:rPr>
          <w:color w:val="000000"/>
          <w:sz w:val="24"/>
          <w:szCs w:val="24"/>
          <w:lang w:val="en-US"/>
        </w:rPr>
        <w:t xml:space="preserve"> copolymer of 1,4-ethylene piperazine N-oxide and (N-carboxymethyl)-</w:t>
      </w:r>
    </w:p>
    <w:p w:rsidR="00BE1AB7" w:rsidRPr="00143088" w:rsidRDefault="00B304F5" w:rsidP="00082D32">
      <w:pPr>
        <w:pStyle w:val="11"/>
        <w:spacing w:line="360" w:lineRule="auto"/>
        <w:rPr>
          <w:b/>
          <w:color w:val="000000"/>
          <w:sz w:val="24"/>
          <w:szCs w:val="24"/>
          <w:lang w:val="en-US"/>
        </w:rPr>
      </w:pPr>
      <w:r w:rsidRPr="00143088">
        <w:rPr>
          <w:color w:val="000000"/>
          <w:sz w:val="24"/>
          <w:szCs w:val="24"/>
          <w:lang w:val="en-US"/>
        </w:rPr>
        <w:t>1,4-ethylene piperazinium bromide</w:t>
      </w:r>
    </w:p>
    <w:p w:rsidR="00BE1AB7" w:rsidRPr="00143088" w:rsidRDefault="00B304F5" w:rsidP="00082D32">
      <w:pPr>
        <w:pStyle w:val="11"/>
        <w:spacing w:line="360" w:lineRule="auto"/>
        <w:jc w:val="both"/>
        <w:rPr>
          <w:color w:val="000000"/>
          <w:sz w:val="24"/>
          <w:szCs w:val="24"/>
          <w:lang w:val="en-US"/>
        </w:rPr>
      </w:pPr>
      <w:r w:rsidRPr="00143088">
        <w:rPr>
          <w:b/>
          <w:color w:val="000000"/>
          <w:sz w:val="24"/>
          <w:szCs w:val="24"/>
          <w:lang w:val="en-US"/>
        </w:rPr>
        <w:t xml:space="preserve">Pharmaceutical form: </w:t>
      </w:r>
      <w:r w:rsidRPr="00143088">
        <w:rPr>
          <w:color w:val="000000"/>
          <w:sz w:val="24"/>
          <w:szCs w:val="24"/>
          <w:lang w:val="en-US"/>
        </w:rPr>
        <w:t>lyophilizate for solution for inj</w:t>
      </w:r>
      <w:r w:rsidR="00143088">
        <w:rPr>
          <w:color w:val="000000"/>
          <w:sz w:val="24"/>
          <w:szCs w:val="24"/>
          <w:lang w:val="en-US"/>
        </w:rPr>
        <w:t>ections and topical application</w:t>
      </w:r>
    </w:p>
    <w:p w:rsidR="00BE1AB7" w:rsidRPr="00143088" w:rsidRDefault="00B304F5" w:rsidP="00082D32">
      <w:pPr>
        <w:widowControl w:val="0"/>
        <w:spacing w:line="360" w:lineRule="auto"/>
        <w:jc w:val="both"/>
        <w:rPr>
          <w:b/>
          <w:color w:val="000000"/>
          <w:sz w:val="24"/>
          <w:szCs w:val="24"/>
          <w:lang w:val="en-US"/>
        </w:rPr>
      </w:pPr>
      <w:r w:rsidRPr="00143088">
        <w:rPr>
          <w:b/>
          <w:color w:val="000000"/>
          <w:sz w:val="24"/>
          <w:szCs w:val="24"/>
          <w:lang w:val="en-US"/>
        </w:rPr>
        <w:t xml:space="preserve">Composition for 1 </w:t>
      </w:r>
      <w:r w:rsidR="00143088">
        <w:rPr>
          <w:b/>
          <w:color w:val="000000"/>
          <w:sz w:val="24"/>
          <w:szCs w:val="24"/>
          <w:lang w:val="en-US"/>
        </w:rPr>
        <w:t>vial</w:t>
      </w:r>
      <w:r w:rsidRPr="00143088">
        <w:rPr>
          <w:b/>
          <w:color w:val="000000"/>
          <w:sz w:val="24"/>
          <w:szCs w:val="24"/>
          <w:lang w:val="en-US"/>
        </w:rPr>
        <w:t>:</w:t>
      </w:r>
    </w:p>
    <w:p w:rsidR="00BE1AB7" w:rsidRPr="00143088" w:rsidRDefault="00B304F5" w:rsidP="00082D32">
      <w:pPr>
        <w:tabs>
          <w:tab w:val="left" w:pos="2977"/>
        </w:tabs>
        <w:spacing w:line="360" w:lineRule="auto"/>
        <w:rPr>
          <w:sz w:val="24"/>
          <w:szCs w:val="24"/>
          <w:lang w:val="en-US"/>
        </w:rPr>
      </w:pPr>
      <w:r w:rsidRPr="00143088">
        <w:rPr>
          <w:sz w:val="24"/>
          <w:szCs w:val="24"/>
          <w:lang w:val="en-US"/>
        </w:rPr>
        <w:t>Active substance: azoximer bromide, 3 mg or 6 mg;</w:t>
      </w:r>
    </w:p>
    <w:p w:rsidR="00BE1AB7" w:rsidRPr="00143088" w:rsidRDefault="00B304F5" w:rsidP="00082D32">
      <w:pPr>
        <w:spacing w:line="360" w:lineRule="auto"/>
        <w:jc w:val="both"/>
        <w:rPr>
          <w:sz w:val="24"/>
          <w:szCs w:val="24"/>
          <w:lang w:val="en-US"/>
        </w:rPr>
      </w:pPr>
      <w:r w:rsidRPr="00143088">
        <w:rPr>
          <w:sz w:val="24"/>
          <w:szCs w:val="24"/>
          <w:u w:val="single"/>
          <w:lang w:val="en-US"/>
        </w:rPr>
        <w:t xml:space="preserve">Excipients: </w:t>
      </w:r>
    </w:p>
    <w:p w:rsidR="00BE1AB7" w:rsidRPr="00143088" w:rsidRDefault="00B304F5" w:rsidP="00082D32">
      <w:pPr>
        <w:spacing w:line="360" w:lineRule="auto"/>
        <w:jc w:val="both"/>
        <w:rPr>
          <w:sz w:val="24"/>
          <w:szCs w:val="24"/>
          <w:lang w:val="en-US"/>
        </w:rPr>
      </w:pPr>
      <w:r w:rsidRPr="00143088">
        <w:rPr>
          <w:sz w:val="24"/>
          <w:szCs w:val="24"/>
          <w:lang w:val="en-US"/>
        </w:rPr>
        <w:t xml:space="preserve">Mannitol - 0.9 mg, povidone К 17 – 0.6 mg (for 3 mg dosage); </w:t>
      </w:r>
    </w:p>
    <w:p w:rsidR="00BE1AB7" w:rsidRPr="00143088" w:rsidRDefault="00B304F5" w:rsidP="00082D32">
      <w:pPr>
        <w:spacing w:line="360" w:lineRule="auto"/>
        <w:jc w:val="both"/>
        <w:rPr>
          <w:sz w:val="24"/>
          <w:szCs w:val="24"/>
          <w:lang w:val="en-US"/>
        </w:rPr>
      </w:pPr>
      <w:r w:rsidRPr="00143088">
        <w:rPr>
          <w:sz w:val="24"/>
          <w:szCs w:val="24"/>
          <w:lang w:val="en-US"/>
        </w:rPr>
        <w:t>Mannitol - 1.8 mg, povidone К 17 – 1.2 mg (for 6 mg dosage);</w:t>
      </w:r>
    </w:p>
    <w:p w:rsidR="00BE1AB7" w:rsidRPr="00143088" w:rsidRDefault="00B304F5" w:rsidP="00082D32">
      <w:pPr>
        <w:pStyle w:val="11"/>
        <w:spacing w:line="360" w:lineRule="auto"/>
        <w:jc w:val="both"/>
        <w:rPr>
          <w:color w:val="000000"/>
          <w:sz w:val="24"/>
          <w:szCs w:val="24"/>
          <w:lang w:val="en-US"/>
        </w:rPr>
      </w:pPr>
      <w:r w:rsidRPr="00143088">
        <w:rPr>
          <w:color w:val="000000"/>
          <w:sz w:val="24"/>
          <w:szCs w:val="24"/>
          <w:lang w:val="en-US"/>
        </w:rPr>
        <w:t xml:space="preserve">Description: White porous mass with or without yellowish shade. </w:t>
      </w:r>
    </w:p>
    <w:p w:rsidR="00BE1AB7" w:rsidRPr="00143088" w:rsidRDefault="00B304F5" w:rsidP="00082D32">
      <w:pPr>
        <w:pStyle w:val="11"/>
        <w:spacing w:line="360" w:lineRule="auto"/>
        <w:rPr>
          <w:color w:val="000000"/>
          <w:sz w:val="24"/>
          <w:szCs w:val="24"/>
          <w:lang w:val="en-US"/>
        </w:rPr>
      </w:pPr>
      <w:r w:rsidRPr="00143088">
        <w:rPr>
          <w:b/>
          <w:color w:val="000000"/>
          <w:sz w:val="24"/>
          <w:szCs w:val="24"/>
          <w:lang w:val="en-US"/>
        </w:rPr>
        <w:t>Pharmacotherapeutic group: immunomodulatory agent.</w:t>
      </w:r>
    </w:p>
    <w:p w:rsidR="00BE1AB7" w:rsidRPr="00143088" w:rsidRDefault="00B304F5" w:rsidP="00082D32">
      <w:pPr>
        <w:pStyle w:val="11"/>
        <w:spacing w:line="360" w:lineRule="auto"/>
        <w:rPr>
          <w:color w:val="000000"/>
          <w:sz w:val="24"/>
          <w:szCs w:val="24"/>
          <w:lang w:val="en-US"/>
        </w:rPr>
      </w:pPr>
      <w:r w:rsidRPr="00143088">
        <w:rPr>
          <w:b/>
          <w:color w:val="000000"/>
          <w:sz w:val="24"/>
          <w:szCs w:val="24"/>
          <w:lang w:val="en-US"/>
        </w:rPr>
        <w:t xml:space="preserve">ATC code: </w:t>
      </w:r>
      <w:r w:rsidRPr="00143088">
        <w:rPr>
          <w:color w:val="000000"/>
          <w:sz w:val="24"/>
          <w:szCs w:val="24"/>
          <w:lang w:val="en-US"/>
        </w:rPr>
        <w:t>[L0З]</w:t>
      </w:r>
    </w:p>
    <w:p w:rsidR="00BE1AB7" w:rsidRPr="00143088" w:rsidRDefault="00B304F5" w:rsidP="00082D32">
      <w:pPr>
        <w:spacing w:before="120" w:line="360" w:lineRule="auto"/>
        <w:rPr>
          <w:b/>
          <w:sz w:val="24"/>
          <w:szCs w:val="24"/>
          <w:lang w:val="en-US"/>
        </w:rPr>
      </w:pPr>
      <w:r w:rsidRPr="00143088">
        <w:rPr>
          <w:b/>
          <w:sz w:val="24"/>
          <w:szCs w:val="24"/>
          <w:lang w:val="en-US"/>
        </w:rPr>
        <w:t>Pharmacological properties</w:t>
      </w:r>
    </w:p>
    <w:p w:rsidR="00BE1AB7" w:rsidRPr="00143088" w:rsidRDefault="00B304F5" w:rsidP="00082D32">
      <w:pPr>
        <w:spacing w:line="360" w:lineRule="auto"/>
        <w:rPr>
          <w:b/>
          <w:sz w:val="24"/>
          <w:szCs w:val="24"/>
          <w:lang w:val="en-US"/>
        </w:rPr>
      </w:pPr>
      <w:r w:rsidRPr="00143088">
        <w:rPr>
          <w:b/>
          <w:sz w:val="24"/>
          <w:szCs w:val="24"/>
          <w:lang w:val="en-US"/>
        </w:rPr>
        <w:t xml:space="preserve">Pharmacodynamics </w:t>
      </w:r>
    </w:p>
    <w:p w:rsidR="00BE1AB7" w:rsidRPr="00143088" w:rsidRDefault="00B304F5" w:rsidP="00082D32">
      <w:pPr>
        <w:pStyle w:val="11"/>
        <w:spacing w:line="360" w:lineRule="auto"/>
        <w:jc w:val="both"/>
        <w:rPr>
          <w:color w:val="000000"/>
          <w:sz w:val="24"/>
          <w:szCs w:val="24"/>
          <w:lang w:val="en-US"/>
        </w:rPr>
      </w:pPr>
      <w:r w:rsidRPr="00143088">
        <w:rPr>
          <w:color w:val="000000"/>
          <w:sz w:val="24"/>
          <w:szCs w:val="24"/>
          <w:lang w:val="en-US"/>
        </w:rPr>
        <w:t xml:space="preserve">Azoximer bromide has a complex effect: immunomodulating, detoxifying, antioxidant and moderate anti-inflammatory. </w:t>
      </w:r>
    </w:p>
    <w:p w:rsidR="00BE1AB7" w:rsidRPr="00143088" w:rsidRDefault="00B304F5" w:rsidP="00082D32">
      <w:pPr>
        <w:pStyle w:val="11"/>
        <w:spacing w:line="360" w:lineRule="auto"/>
        <w:jc w:val="both"/>
        <w:rPr>
          <w:rStyle w:val="apple-converted-space"/>
          <w:color w:val="3B3F41"/>
          <w:sz w:val="24"/>
          <w:szCs w:val="24"/>
          <w:shd w:val="clear" w:color="auto" w:fill="FFFFFF"/>
          <w:lang w:val="en-US"/>
        </w:rPr>
      </w:pPr>
      <w:r w:rsidRPr="00143088">
        <w:rPr>
          <w:color w:val="000000"/>
          <w:sz w:val="24"/>
          <w:szCs w:val="24"/>
          <w:lang w:val="en-US"/>
        </w:rPr>
        <w:t xml:space="preserve">The basis of the immunomodulating action of Azoximer bromide is a direct effect on phagocytic cells and natural killers, as well as stimulation of antibody formation and synthesis of interferon-alpha and interferon-gamma. </w:t>
      </w:r>
    </w:p>
    <w:p w:rsidR="00BE1AB7" w:rsidRPr="00143088" w:rsidRDefault="00B304F5" w:rsidP="00082D32">
      <w:pPr>
        <w:spacing w:line="360" w:lineRule="auto"/>
        <w:jc w:val="both"/>
        <w:rPr>
          <w:color w:val="231F20"/>
          <w:sz w:val="24"/>
          <w:szCs w:val="24"/>
          <w:lang w:val="en-US"/>
        </w:rPr>
      </w:pPr>
      <w:r w:rsidRPr="00143088">
        <w:rPr>
          <w:iCs/>
          <w:color w:val="000000"/>
          <w:sz w:val="24"/>
          <w:szCs w:val="24"/>
          <w:shd w:val="clear" w:color="auto" w:fill="FFFFFF"/>
          <w:lang w:val="en-US"/>
        </w:rPr>
        <w:t xml:space="preserve">The detoxification and antioxidant properties of azoximer bromide are largely determined by the structure and high molecular nature of the drug. Azoximer bromide increases the body's resistance to local and generalized infections of bacterial, fungal and viral etiology. It also restores immunity in secondary immunodeficiency conditions, caused by various infections, injuries, complications after surgery, burns, autoimmune diseases, malignant neoplasms, the use of chemotherapeutic agents, cytostatics, steroid hormones. </w:t>
      </w:r>
    </w:p>
    <w:p w:rsidR="00BE1AB7" w:rsidRPr="00143088" w:rsidRDefault="00B304F5" w:rsidP="00082D32">
      <w:pPr>
        <w:spacing w:line="360" w:lineRule="auto"/>
        <w:jc w:val="both"/>
        <w:rPr>
          <w:sz w:val="24"/>
          <w:szCs w:val="24"/>
          <w:lang w:val="en-US" w:eastAsia="en-US"/>
        </w:rPr>
      </w:pPr>
      <w:r w:rsidRPr="00143088">
        <w:rPr>
          <w:sz w:val="24"/>
          <w:szCs w:val="24"/>
          <w:lang w:val="en-US" w:eastAsia="en-US"/>
        </w:rPr>
        <w:t xml:space="preserve">A characteristic feature of Azoximer bromide in local (nasal, sublingual) use is the ability to activate factors of the body's early defense against infection: the drug stimulates the bactericidal </w:t>
      </w:r>
      <w:r w:rsidRPr="00143088">
        <w:rPr>
          <w:sz w:val="24"/>
          <w:szCs w:val="24"/>
          <w:lang w:val="en-US" w:eastAsia="en-US"/>
        </w:rPr>
        <w:lastRenderedPageBreak/>
        <w:t xml:space="preserve">properties of neutrophils, macrophages, enhances their ability to absorb bacteria, increases the bactericidal properties of saliva and the secretion of the mucous membranes of the upper respiratory tract. </w:t>
      </w:r>
    </w:p>
    <w:p w:rsidR="00BE1AB7" w:rsidRPr="00143088" w:rsidRDefault="00B304F5" w:rsidP="00082D32">
      <w:pPr>
        <w:spacing w:line="360" w:lineRule="auto"/>
        <w:jc w:val="both"/>
        <w:rPr>
          <w:iCs/>
          <w:color w:val="000000"/>
          <w:sz w:val="24"/>
          <w:szCs w:val="24"/>
          <w:lang w:val="en-US"/>
        </w:rPr>
      </w:pPr>
      <w:r w:rsidRPr="00143088">
        <w:rPr>
          <w:iCs/>
          <w:color w:val="000000"/>
          <w:sz w:val="24"/>
          <w:szCs w:val="24"/>
          <w:shd w:val="clear" w:color="auto" w:fill="FFFFFF"/>
          <w:lang w:val="en-US"/>
        </w:rPr>
        <w:t xml:space="preserve">Azoximer bromide blocks soluble toxic substances and microparticles, has the ability to remove toxins, salts of heavy metals from the body, inhibits lipid peroxidation, both through the capture of free radicals and through the elimination of catalytically active Fe </w:t>
      </w:r>
      <w:r w:rsidRPr="00143088">
        <w:rPr>
          <w:iCs/>
          <w:color w:val="000000"/>
          <w:sz w:val="24"/>
          <w:szCs w:val="24"/>
          <w:shd w:val="clear" w:color="auto" w:fill="FFFFFF"/>
          <w:vertAlign w:val="superscript"/>
          <w:lang w:val="en-US"/>
        </w:rPr>
        <w:t>2+</w:t>
      </w:r>
      <w:r w:rsidRPr="00143088">
        <w:rPr>
          <w:iCs/>
          <w:color w:val="000000"/>
          <w:sz w:val="24"/>
          <w:szCs w:val="24"/>
          <w:shd w:val="clear" w:color="auto" w:fill="FFFFFF"/>
          <w:lang w:val="en-US"/>
        </w:rPr>
        <w:t xml:space="preserve"> ions. Azoximer bromide reduces the inflammatory response by normalizing the synthesis of pro- and anti-inflammatory cytokines.</w:t>
      </w:r>
    </w:p>
    <w:p w:rsidR="00BE1AB7" w:rsidRPr="00143088" w:rsidRDefault="00B304F5" w:rsidP="00082D32">
      <w:pPr>
        <w:pStyle w:val="11"/>
        <w:spacing w:line="360" w:lineRule="auto"/>
        <w:jc w:val="both"/>
        <w:rPr>
          <w:sz w:val="24"/>
          <w:szCs w:val="24"/>
          <w:lang w:val="en-US"/>
        </w:rPr>
      </w:pPr>
      <w:r w:rsidRPr="00143088">
        <w:rPr>
          <w:color w:val="000000"/>
          <w:sz w:val="24"/>
          <w:szCs w:val="24"/>
          <w:lang w:val="en-US"/>
        </w:rPr>
        <w:t xml:space="preserve">Azoximer bromide is well tolerated, does not have mitogenic, polyclonal activity, antigenic properties, does not have allergenic, mutagenic, embryotoxic, teratogenic or carcinogenic effects. </w:t>
      </w:r>
      <w:r w:rsidRPr="00143088">
        <w:rPr>
          <w:sz w:val="24"/>
          <w:szCs w:val="24"/>
          <w:lang w:val="en-US"/>
        </w:rPr>
        <w:t>Azoximer bromide has no smell and taste, does not have a locally irritating effect when applied to the mucous membranes of the nose and oropharynx.</w:t>
      </w:r>
    </w:p>
    <w:p w:rsidR="00BE1AB7" w:rsidRPr="00143088" w:rsidRDefault="00B304F5" w:rsidP="00082D32">
      <w:pPr>
        <w:pStyle w:val="a7"/>
        <w:spacing w:line="360" w:lineRule="auto"/>
        <w:jc w:val="both"/>
        <w:rPr>
          <w:rFonts w:ascii="Times New Roman" w:hAnsi="Times New Roman"/>
          <w:b/>
          <w:sz w:val="24"/>
          <w:szCs w:val="24"/>
          <w:lang w:val="en-US"/>
        </w:rPr>
      </w:pPr>
      <w:r w:rsidRPr="00143088">
        <w:rPr>
          <w:rFonts w:ascii="Times New Roman" w:hAnsi="Times New Roman"/>
          <w:b/>
          <w:sz w:val="24"/>
          <w:szCs w:val="24"/>
          <w:lang w:val="en-US"/>
        </w:rPr>
        <w:t>Pharmacokinetics</w:t>
      </w:r>
    </w:p>
    <w:p w:rsidR="00BE1AB7" w:rsidRPr="00143088" w:rsidRDefault="00B304F5" w:rsidP="00082D32">
      <w:pPr>
        <w:pStyle w:val="a7"/>
        <w:spacing w:line="360" w:lineRule="auto"/>
        <w:jc w:val="both"/>
        <w:rPr>
          <w:rFonts w:ascii="Times New Roman" w:hAnsi="Times New Roman"/>
          <w:color w:val="000000"/>
          <w:sz w:val="24"/>
          <w:szCs w:val="24"/>
          <w:lang w:val="en-US"/>
        </w:rPr>
      </w:pPr>
      <w:r w:rsidRPr="00143088">
        <w:rPr>
          <w:rFonts w:ascii="Times New Roman" w:hAnsi="Times New Roman"/>
          <w:sz w:val="24"/>
          <w:szCs w:val="24"/>
          <w:lang w:val="en-US"/>
        </w:rPr>
        <w:t>Azox</w:t>
      </w:r>
      <w:r w:rsidR="00143088">
        <w:rPr>
          <w:rFonts w:ascii="Times New Roman" w:hAnsi="Times New Roman"/>
          <w:sz w:val="24"/>
          <w:szCs w:val="24"/>
          <w:lang w:val="en-US"/>
        </w:rPr>
        <w:t>i</w:t>
      </w:r>
      <w:r w:rsidRPr="00143088">
        <w:rPr>
          <w:rFonts w:ascii="Times New Roman" w:hAnsi="Times New Roman"/>
          <w:sz w:val="24"/>
          <w:szCs w:val="24"/>
          <w:lang w:val="en-US"/>
        </w:rPr>
        <w:t xml:space="preserve">mer bromide is characterized by rapid absorption and high speed of distribution in the body. Maximum concentration is </w:t>
      </w:r>
      <w:r w:rsidR="00143088" w:rsidRPr="00143088">
        <w:rPr>
          <w:rFonts w:ascii="Times New Roman" w:hAnsi="Times New Roman"/>
          <w:sz w:val="24"/>
          <w:szCs w:val="24"/>
          <w:lang w:val="en-US"/>
        </w:rPr>
        <w:t>achieved</w:t>
      </w:r>
      <w:r w:rsidRPr="00143088">
        <w:rPr>
          <w:rFonts w:ascii="Times New Roman" w:hAnsi="Times New Roman"/>
          <w:sz w:val="24"/>
          <w:szCs w:val="24"/>
          <w:lang w:val="en-US"/>
        </w:rPr>
        <w:t xml:space="preserve"> in blood during intramuscular administration 40 minutes after the injection.  The half-life for different ages ranges from 36 to 65 hours. The bioavailability of the drug is high: more than 90% during parenteral administration. </w:t>
      </w:r>
    </w:p>
    <w:p w:rsidR="00BE1AB7" w:rsidRPr="00143088" w:rsidRDefault="00B304F5" w:rsidP="00082D32">
      <w:pPr>
        <w:pStyle w:val="a7"/>
        <w:spacing w:line="360" w:lineRule="auto"/>
        <w:jc w:val="both"/>
        <w:rPr>
          <w:rFonts w:ascii="Times New Roman" w:hAnsi="Times New Roman"/>
          <w:sz w:val="24"/>
          <w:szCs w:val="24"/>
          <w:lang w:val="en-US"/>
        </w:rPr>
      </w:pPr>
      <w:r w:rsidRPr="00143088">
        <w:rPr>
          <w:rFonts w:ascii="Times New Roman" w:hAnsi="Times New Roman"/>
          <w:sz w:val="24"/>
          <w:szCs w:val="24"/>
          <w:lang w:val="en-US"/>
        </w:rPr>
        <w:t>Azoximer bromide is rapidly distributed throughout all organs and tissues of the body, penetrates the blood-brain and blood-aqueous barrier. No cumulative effect observed for this medicine. In the body, Azoximer bromide undergoes biodegradation to low molecular weight oligomers, excreted mainly by the kidneys, with feces – not more than 3%.</w:t>
      </w:r>
      <w:r w:rsidRPr="00143088">
        <w:rPr>
          <w:rFonts w:ascii="Times New Roman" w:hAnsi="Times New Roman"/>
          <w:sz w:val="24"/>
          <w:szCs w:val="24"/>
          <w:lang w:val="en-US"/>
        </w:rPr>
        <w:br/>
      </w:r>
    </w:p>
    <w:p w:rsidR="00BE1AB7" w:rsidRPr="00143088" w:rsidRDefault="00B304F5" w:rsidP="000507FC">
      <w:pPr>
        <w:pStyle w:val="11"/>
        <w:spacing w:before="120" w:line="360" w:lineRule="auto"/>
        <w:rPr>
          <w:b/>
          <w:color w:val="000000"/>
          <w:sz w:val="24"/>
          <w:szCs w:val="24"/>
          <w:lang w:val="en-US"/>
        </w:rPr>
      </w:pPr>
      <w:r w:rsidRPr="00143088">
        <w:rPr>
          <w:b/>
          <w:color w:val="000000"/>
          <w:sz w:val="24"/>
          <w:szCs w:val="24"/>
          <w:lang w:val="en-US"/>
        </w:rPr>
        <w:t>Indications for use</w:t>
      </w:r>
    </w:p>
    <w:p w:rsidR="00BE1AB7" w:rsidRPr="00143088" w:rsidRDefault="00B304F5" w:rsidP="00C632D2">
      <w:pPr>
        <w:pStyle w:val="af3"/>
        <w:spacing w:after="0" w:line="360" w:lineRule="auto"/>
        <w:jc w:val="both"/>
        <w:rPr>
          <w:lang w:val="en-US"/>
        </w:rPr>
      </w:pPr>
      <w:r w:rsidRPr="00143088">
        <w:rPr>
          <w:lang w:val="en-US"/>
        </w:rPr>
        <w:t>The drug is used in adults and children over 6 months old for the treatment and prevention of infectious and inflammatory diseases (of viral, bacterial or fungal etiology), in the stage of exacerbation and remission.</w:t>
      </w:r>
    </w:p>
    <w:p w:rsidR="00BE1AB7" w:rsidRPr="00143088" w:rsidRDefault="00B304F5">
      <w:pPr>
        <w:pStyle w:val="11"/>
        <w:spacing w:line="360" w:lineRule="auto"/>
        <w:rPr>
          <w:sz w:val="24"/>
          <w:szCs w:val="24"/>
          <w:lang w:val="en-US"/>
        </w:rPr>
      </w:pPr>
      <w:r w:rsidRPr="00143088">
        <w:rPr>
          <w:sz w:val="24"/>
          <w:szCs w:val="24"/>
          <w:lang w:val="en-US"/>
        </w:rPr>
        <w:t>For adults treatment of the following conditions (as a component of complex therapy):</w:t>
      </w:r>
    </w:p>
    <w:p w:rsidR="00BE1AB7" w:rsidRPr="00143088" w:rsidRDefault="00B304F5" w:rsidP="000507FC">
      <w:pPr>
        <w:numPr>
          <w:ilvl w:val="0"/>
          <w:numId w:val="17"/>
        </w:numPr>
        <w:snapToGrid w:val="0"/>
        <w:spacing w:line="360" w:lineRule="auto"/>
        <w:jc w:val="both"/>
        <w:rPr>
          <w:color w:val="000000"/>
          <w:sz w:val="24"/>
          <w:szCs w:val="24"/>
          <w:lang w:val="en-US"/>
        </w:rPr>
      </w:pPr>
      <w:r w:rsidRPr="00143088">
        <w:rPr>
          <w:color w:val="000000"/>
          <w:sz w:val="24"/>
          <w:szCs w:val="24"/>
          <w:lang w:val="en-US"/>
        </w:rPr>
        <w:t>chronic recurrent infectious and inflammatory diseases of various localization, bacterial, viral and fungal etiology in the acute stage;</w:t>
      </w:r>
    </w:p>
    <w:p w:rsidR="00BE1AB7" w:rsidRPr="00143088" w:rsidRDefault="00B304F5" w:rsidP="000507FC">
      <w:pPr>
        <w:numPr>
          <w:ilvl w:val="0"/>
          <w:numId w:val="17"/>
        </w:numPr>
        <w:snapToGrid w:val="0"/>
        <w:spacing w:line="360" w:lineRule="auto"/>
        <w:jc w:val="both"/>
        <w:rPr>
          <w:color w:val="000000"/>
          <w:sz w:val="24"/>
          <w:szCs w:val="24"/>
          <w:lang w:val="en-US"/>
        </w:rPr>
      </w:pPr>
      <w:r w:rsidRPr="00143088">
        <w:rPr>
          <w:color w:val="000000"/>
          <w:sz w:val="24"/>
          <w:szCs w:val="24"/>
          <w:lang w:val="en-US"/>
        </w:rPr>
        <w:t xml:space="preserve">acute viral, bacterial infections of ENT organs, upper and lower respiratory tract, gynecological and urological diseases; </w:t>
      </w:r>
    </w:p>
    <w:p w:rsidR="00BE1AB7" w:rsidRPr="00143088" w:rsidRDefault="00B304F5" w:rsidP="000507FC">
      <w:pPr>
        <w:numPr>
          <w:ilvl w:val="0"/>
          <w:numId w:val="17"/>
        </w:numPr>
        <w:snapToGrid w:val="0"/>
        <w:spacing w:line="360" w:lineRule="auto"/>
        <w:jc w:val="both"/>
        <w:rPr>
          <w:color w:val="000000"/>
          <w:sz w:val="24"/>
          <w:szCs w:val="24"/>
          <w:lang w:val="en-US"/>
        </w:rPr>
      </w:pPr>
      <w:r w:rsidRPr="00143088">
        <w:rPr>
          <w:color w:val="000000"/>
          <w:sz w:val="24"/>
          <w:szCs w:val="24"/>
          <w:lang w:val="en-US"/>
        </w:rPr>
        <w:t>acute and chronic allergic diseases (including pollen fever,  bronchial asthma, atopic dermatitis), complicated  bacterial, viral and fungal infections;</w:t>
      </w:r>
    </w:p>
    <w:p w:rsidR="00BE1AB7" w:rsidRPr="00143088" w:rsidRDefault="00B304F5" w:rsidP="000507FC">
      <w:pPr>
        <w:numPr>
          <w:ilvl w:val="0"/>
          <w:numId w:val="17"/>
        </w:numPr>
        <w:snapToGrid w:val="0"/>
        <w:spacing w:line="360" w:lineRule="auto"/>
        <w:jc w:val="both"/>
        <w:rPr>
          <w:color w:val="000000"/>
          <w:sz w:val="24"/>
          <w:szCs w:val="24"/>
          <w:lang w:val="en-US"/>
        </w:rPr>
      </w:pPr>
      <w:r w:rsidRPr="00143088">
        <w:rPr>
          <w:color w:val="000000"/>
          <w:sz w:val="24"/>
          <w:szCs w:val="24"/>
          <w:lang w:val="en-US"/>
        </w:rPr>
        <w:t>malignant tumors during and after chemotherapy and radiation therapy to reduce the immunosuppressive, nephro- and hepatotoxic effects of drugs;</w:t>
      </w:r>
    </w:p>
    <w:p w:rsidR="00BE1AB7" w:rsidRPr="00143088" w:rsidRDefault="00B304F5" w:rsidP="00C632D2">
      <w:pPr>
        <w:numPr>
          <w:ilvl w:val="0"/>
          <w:numId w:val="17"/>
        </w:numPr>
        <w:spacing w:line="360" w:lineRule="auto"/>
        <w:jc w:val="both"/>
        <w:rPr>
          <w:color w:val="000000"/>
          <w:sz w:val="24"/>
          <w:szCs w:val="24"/>
          <w:lang w:val="en-US"/>
        </w:rPr>
      </w:pPr>
      <w:r w:rsidRPr="00143088">
        <w:rPr>
          <w:color w:val="000000"/>
          <w:sz w:val="24"/>
          <w:szCs w:val="24"/>
          <w:lang w:val="en-US"/>
        </w:rPr>
        <w:lastRenderedPageBreak/>
        <w:t xml:space="preserve">generalized forms of surgical infections; to activate regenerative processes (fractures, burns, trophic ulcers); </w:t>
      </w:r>
    </w:p>
    <w:p w:rsidR="00BE1AB7" w:rsidRPr="00143088" w:rsidRDefault="00B304F5" w:rsidP="000507FC">
      <w:pPr>
        <w:numPr>
          <w:ilvl w:val="0"/>
          <w:numId w:val="17"/>
        </w:numPr>
        <w:snapToGrid w:val="0"/>
        <w:spacing w:line="360" w:lineRule="auto"/>
        <w:jc w:val="both"/>
        <w:rPr>
          <w:color w:val="000000"/>
          <w:sz w:val="24"/>
          <w:szCs w:val="24"/>
          <w:lang w:val="en-US"/>
        </w:rPr>
      </w:pPr>
      <w:r w:rsidRPr="00143088">
        <w:rPr>
          <w:sz w:val="24"/>
          <w:szCs w:val="24"/>
          <w:lang w:val="en-US"/>
        </w:rPr>
        <w:t xml:space="preserve">Rheumatoid arthritis complicated by bacterial, viral and fungal infections associated with the prolonged use of immunosuppressants; </w:t>
      </w:r>
    </w:p>
    <w:p w:rsidR="00BE1AB7" w:rsidRPr="00143088" w:rsidRDefault="00B304F5" w:rsidP="00C632D2">
      <w:pPr>
        <w:numPr>
          <w:ilvl w:val="0"/>
          <w:numId w:val="17"/>
        </w:numPr>
        <w:spacing w:line="360" w:lineRule="auto"/>
        <w:rPr>
          <w:snapToGrid w:val="0"/>
          <w:color w:val="000000"/>
          <w:sz w:val="24"/>
          <w:szCs w:val="24"/>
          <w:lang w:val="en-US"/>
        </w:rPr>
      </w:pPr>
      <w:r w:rsidRPr="00143088">
        <w:rPr>
          <w:snapToGrid w:val="0"/>
          <w:color w:val="000000"/>
          <w:sz w:val="24"/>
          <w:szCs w:val="24"/>
          <w:lang w:val="en-US"/>
        </w:rPr>
        <w:t>lu</w:t>
      </w:r>
      <w:r w:rsidR="00143088">
        <w:rPr>
          <w:snapToGrid w:val="0"/>
          <w:color w:val="000000"/>
          <w:sz w:val="24"/>
          <w:szCs w:val="24"/>
          <w:lang w:val="en-US"/>
        </w:rPr>
        <w:t>n</w:t>
      </w:r>
      <w:r w:rsidRPr="00143088">
        <w:rPr>
          <w:snapToGrid w:val="0"/>
          <w:color w:val="000000"/>
          <w:sz w:val="24"/>
          <w:szCs w:val="24"/>
          <w:lang w:val="en-US"/>
        </w:rPr>
        <w:t>gs tuberculosis.</w:t>
      </w:r>
    </w:p>
    <w:p w:rsidR="00BE1AB7" w:rsidRPr="00143088" w:rsidRDefault="00B304F5">
      <w:pPr>
        <w:pStyle w:val="11"/>
        <w:spacing w:line="360" w:lineRule="auto"/>
        <w:rPr>
          <w:color w:val="000000"/>
          <w:sz w:val="24"/>
          <w:szCs w:val="24"/>
          <w:lang w:val="en-US"/>
        </w:rPr>
      </w:pPr>
      <w:r w:rsidRPr="00143088">
        <w:rPr>
          <w:color w:val="000000"/>
          <w:sz w:val="24"/>
          <w:szCs w:val="24"/>
          <w:lang w:val="en-US"/>
        </w:rPr>
        <w:t>For the treatment of children over 6 months old (in complex therapy):</w:t>
      </w:r>
    </w:p>
    <w:p w:rsidR="00BE1AB7" w:rsidRPr="00143088" w:rsidRDefault="00B304F5" w:rsidP="000507FC">
      <w:pPr>
        <w:pStyle w:val="11"/>
        <w:numPr>
          <w:ilvl w:val="0"/>
          <w:numId w:val="16"/>
        </w:numPr>
        <w:spacing w:line="360" w:lineRule="auto"/>
        <w:jc w:val="both"/>
        <w:rPr>
          <w:color w:val="000000"/>
          <w:sz w:val="24"/>
          <w:szCs w:val="24"/>
          <w:lang w:val="en-US"/>
        </w:rPr>
      </w:pPr>
      <w:r w:rsidRPr="00143088">
        <w:rPr>
          <w:color w:val="000000"/>
          <w:sz w:val="24"/>
          <w:szCs w:val="24"/>
          <w:lang w:val="en-US"/>
        </w:rPr>
        <w:t xml:space="preserve">acute and exacerbation of chronic inflammatory diseases of any localization (including  ENT organs - sinusitis, rhinitis, adenoiditis, hypertrophy of the pharyngeal tonsil, acute respiratory infection) caused by pathogens of bacterial, viral, fungal infections; </w:t>
      </w:r>
    </w:p>
    <w:p w:rsidR="00BE1AB7" w:rsidRPr="00143088" w:rsidRDefault="00B304F5" w:rsidP="000507FC">
      <w:pPr>
        <w:pStyle w:val="11"/>
        <w:numPr>
          <w:ilvl w:val="0"/>
          <w:numId w:val="16"/>
        </w:numPr>
        <w:spacing w:line="360" w:lineRule="auto"/>
        <w:jc w:val="both"/>
        <w:rPr>
          <w:color w:val="000000"/>
          <w:sz w:val="24"/>
          <w:szCs w:val="24"/>
          <w:lang w:val="en-US"/>
        </w:rPr>
      </w:pPr>
      <w:r w:rsidRPr="00143088">
        <w:rPr>
          <w:color w:val="000000"/>
          <w:sz w:val="24"/>
          <w:szCs w:val="24"/>
          <w:lang w:val="en-US"/>
        </w:rPr>
        <w:t>acute allergic and toxic-allergic conditions complicated by bacterial, viral and fungal infections;</w:t>
      </w:r>
    </w:p>
    <w:p w:rsidR="00BE1AB7" w:rsidRPr="00143088" w:rsidRDefault="00B304F5" w:rsidP="000507FC">
      <w:pPr>
        <w:pStyle w:val="11"/>
        <w:numPr>
          <w:ilvl w:val="0"/>
          <w:numId w:val="16"/>
        </w:numPr>
        <w:spacing w:line="360" w:lineRule="auto"/>
        <w:jc w:val="both"/>
        <w:rPr>
          <w:color w:val="000000"/>
          <w:sz w:val="24"/>
          <w:szCs w:val="24"/>
          <w:lang w:val="en-US"/>
        </w:rPr>
      </w:pPr>
      <w:r w:rsidRPr="00143088">
        <w:rPr>
          <w:color w:val="000000"/>
          <w:sz w:val="24"/>
          <w:szCs w:val="24"/>
          <w:lang w:val="en-US"/>
        </w:rPr>
        <w:t>bronchial asthma, complicated by chronic respiratory tract infections;</w:t>
      </w:r>
    </w:p>
    <w:p w:rsidR="00BE1AB7" w:rsidRPr="00143088" w:rsidRDefault="00B304F5" w:rsidP="000507FC">
      <w:pPr>
        <w:pStyle w:val="11"/>
        <w:numPr>
          <w:ilvl w:val="0"/>
          <w:numId w:val="16"/>
        </w:numPr>
        <w:spacing w:line="360" w:lineRule="auto"/>
        <w:jc w:val="both"/>
        <w:rPr>
          <w:color w:val="000000"/>
          <w:sz w:val="24"/>
          <w:szCs w:val="24"/>
          <w:lang w:val="en-US"/>
        </w:rPr>
      </w:pPr>
      <w:r w:rsidRPr="00143088">
        <w:rPr>
          <w:color w:val="000000"/>
          <w:sz w:val="24"/>
          <w:szCs w:val="24"/>
          <w:lang w:val="en-US"/>
        </w:rPr>
        <w:t>atopic dermatitis, complicated by purulent infection;</w:t>
      </w:r>
    </w:p>
    <w:p w:rsidR="00BE1AB7" w:rsidRPr="00143088" w:rsidRDefault="00B304F5" w:rsidP="000507FC">
      <w:pPr>
        <w:pStyle w:val="11"/>
        <w:numPr>
          <w:ilvl w:val="0"/>
          <w:numId w:val="16"/>
        </w:numPr>
        <w:spacing w:line="360" w:lineRule="auto"/>
        <w:jc w:val="both"/>
        <w:rPr>
          <w:color w:val="000000"/>
          <w:sz w:val="24"/>
          <w:szCs w:val="24"/>
          <w:lang w:val="en-US"/>
        </w:rPr>
      </w:pPr>
      <w:r w:rsidRPr="00143088">
        <w:rPr>
          <w:color w:val="000000"/>
          <w:sz w:val="24"/>
          <w:szCs w:val="24"/>
          <w:lang w:val="en-US"/>
        </w:rPr>
        <w:t>intestinal disbacteriosis (in combination with specific therapy);</w:t>
      </w:r>
    </w:p>
    <w:p w:rsidR="00BE1AB7" w:rsidRPr="00143088" w:rsidRDefault="00B304F5" w:rsidP="000507FC">
      <w:pPr>
        <w:pStyle w:val="11"/>
        <w:spacing w:line="360" w:lineRule="auto"/>
        <w:jc w:val="both"/>
        <w:rPr>
          <w:color w:val="000000"/>
          <w:sz w:val="24"/>
          <w:szCs w:val="24"/>
          <w:lang w:val="en-US"/>
        </w:rPr>
      </w:pPr>
      <w:r w:rsidRPr="00143088">
        <w:rPr>
          <w:color w:val="000000"/>
          <w:sz w:val="24"/>
          <w:szCs w:val="24"/>
          <w:lang w:val="en-US"/>
        </w:rPr>
        <w:t>For prophylaxis (monotherapy) in children over 6 months old and in adults:</w:t>
      </w:r>
    </w:p>
    <w:p w:rsidR="00BE1AB7" w:rsidRPr="00143088" w:rsidRDefault="00B304F5" w:rsidP="000507FC">
      <w:pPr>
        <w:pStyle w:val="11"/>
        <w:numPr>
          <w:ilvl w:val="0"/>
          <w:numId w:val="20"/>
        </w:numPr>
        <w:spacing w:line="360" w:lineRule="auto"/>
        <w:jc w:val="both"/>
        <w:rPr>
          <w:color w:val="000000"/>
          <w:sz w:val="24"/>
          <w:szCs w:val="24"/>
          <w:lang w:val="en-US"/>
        </w:rPr>
      </w:pPr>
      <w:r w:rsidRPr="00143088">
        <w:rPr>
          <w:color w:val="000000"/>
          <w:sz w:val="24"/>
          <w:szCs w:val="24"/>
          <w:lang w:val="en-US"/>
        </w:rPr>
        <w:t>flu and acute respiratory infections;</w:t>
      </w:r>
    </w:p>
    <w:p w:rsidR="001102E5" w:rsidRPr="00143088" w:rsidRDefault="00B304F5" w:rsidP="000507FC">
      <w:pPr>
        <w:pStyle w:val="11"/>
        <w:numPr>
          <w:ilvl w:val="0"/>
          <w:numId w:val="20"/>
        </w:numPr>
        <w:spacing w:line="360" w:lineRule="auto"/>
        <w:jc w:val="both"/>
        <w:rPr>
          <w:color w:val="000000"/>
          <w:sz w:val="24"/>
          <w:szCs w:val="24"/>
          <w:lang w:val="en-US"/>
        </w:rPr>
      </w:pPr>
      <w:r w:rsidRPr="00143088">
        <w:rPr>
          <w:color w:val="000000"/>
          <w:sz w:val="24"/>
          <w:szCs w:val="24"/>
          <w:lang w:val="en-US"/>
        </w:rPr>
        <w:t>post-surgery infectious complications;</w:t>
      </w:r>
    </w:p>
    <w:p w:rsidR="00BE1AB7" w:rsidRPr="00143088" w:rsidRDefault="00B304F5" w:rsidP="000507FC">
      <w:pPr>
        <w:pStyle w:val="11"/>
        <w:spacing w:before="120" w:line="360" w:lineRule="auto"/>
        <w:ind w:right="-142"/>
        <w:jc w:val="both"/>
        <w:rPr>
          <w:b/>
          <w:color w:val="000000"/>
          <w:sz w:val="24"/>
          <w:szCs w:val="24"/>
          <w:lang w:val="en-US"/>
        </w:rPr>
      </w:pPr>
      <w:r w:rsidRPr="00143088">
        <w:rPr>
          <w:b/>
          <w:color w:val="000000"/>
          <w:sz w:val="24"/>
          <w:szCs w:val="24"/>
          <w:lang w:val="en-US"/>
        </w:rPr>
        <w:t xml:space="preserve">Contraindications  </w:t>
      </w:r>
    </w:p>
    <w:p w:rsidR="00BE1AB7" w:rsidRPr="00143088" w:rsidRDefault="00B304F5" w:rsidP="00556A0D">
      <w:pPr>
        <w:pStyle w:val="11"/>
        <w:numPr>
          <w:ilvl w:val="0"/>
          <w:numId w:val="19"/>
        </w:numPr>
        <w:tabs>
          <w:tab w:val="clear" w:pos="795"/>
          <w:tab w:val="num" w:pos="728"/>
        </w:tabs>
        <w:spacing w:line="360" w:lineRule="auto"/>
        <w:ind w:right="-142" w:hanging="431"/>
        <w:jc w:val="both"/>
        <w:rPr>
          <w:color w:val="000000"/>
          <w:sz w:val="24"/>
          <w:szCs w:val="24"/>
          <w:lang w:val="en-US"/>
        </w:rPr>
      </w:pPr>
      <w:r w:rsidRPr="00143088">
        <w:rPr>
          <w:color w:val="000000"/>
          <w:sz w:val="24"/>
          <w:szCs w:val="24"/>
          <w:lang w:val="en-US"/>
        </w:rPr>
        <w:t>Known hypersensitivity;</w:t>
      </w:r>
    </w:p>
    <w:p w:rsidR="00BE1AB7" w:rsidRPr="00143088" w:rsidRDefault="00B304F5" w:rsidP="005E7AF0">
      <w:pPr>
        <w:pStyle w:val="11"/>
        <w:numPr>
          <w:ilvl w:val="0"/>
          <w:numId w:val="18"/>
        </w:numPr>
        <w:spacing w:line="360" w:lineRule="auto"/>
        <w:ind w:right="-142"/>
        <w:jc w:val="both"/>
        <w:rPr>
          <w:b/>
          <w:color w:val="000000"/>
          <w:sz w:val="24"/>
          <w:szCs w:val="24"/>
          <w:lang w:val="en-US"/>
        </w:rPr>
      </w:pPr>
      <w:r w:rsidRPr="00143088">
        <w:rPr>
          <w:color w:val="000000"/>
          <w:sz w:val="24"/>
          <w:szCs w:val="24"/>
          <w:lang w:val="en-US"/>
        </w:rPr>
        <w:t>Pregnancy, lactation;</w:t>
      </w:r>
    </w:p>
    <w:p w:rsidR="00BE1AB7" w:rsidRPr="00143088" w:rsidRDefault="00B304F5" w:rsidP="005E7AF0">
      <w:pPr>
        <w:pStyle w:val="11"/>
        <w:numPr>
          <w:ilvl w:val="0"/>
          <w:numId w:val="18"/>
        </w:numPr>
        <w:spacing w:line="360" w:lineRule="auto"/>
        <w:ind w:right="-142"/>
        <w:jc w:val="both"/>
        <w:rPr>
          <w:b/>
          <w:color w:val="000000"/>
          <w:sz w:val="24"/>
          <w:szCs w:val="24"/>
          <w:lang w:val="en-US"/>
        </w:rPr>
      </w:pPr>
      <w:r w:rsidRPr="00143088">
        <w:rPr>
          <w:color w:val="000000"/>
          <w:sz w:val="24"/>
          <w:szCs w:val="24"/>
          <w:lang w:val="en-US"/>
        </w:rPr>
        <w:t>Children aged below 6 months;</w:t>
      </w:r>
    </w:p>
    <w:p w:rsidR="00BE1AB7" w:rsidRPr="00143088" w:rsidRDefault="00B304F5" w:rsidP="005E7AF0">
      <w:pPr>
        <w:pStyle w:val="11"/>
        <w:numPr>
          <w:ilvl w:val="0"/>
          <w:numId w:val="18"/>
        </w:numPr>
        <w:spacing w:line="360" w:lineRule="auto"/>
        <w:ind w:right="-142"/>
        <w:jc w:val="both"/>
        <w:rPr>
          <w:b/>
          <w:color w:val="000000"/>
          <w:sz w:val="24"/>
          <w:szCs w:val="24"/>
          <w:lang w:val="en-US"/>
        </w:rPr>
      </w:pPr>
      <w:r w:rsidRPr="00143088">
        <w:rPr>
          <w:color w:val="000000"/>
          <w:sz w:val="24"/>
          <w:szCs w:val="24"/>
          <w:lang w:val="en-US"/>
        </w:rPr>
        <w:t>Acute renal failure.</w:t>
      </w:r>
    </w:p>
    <w:p w:rsidR="00BE1AB7" w:rsidRPr="00143088" w:rsidRDefault="00B304F5" w:rsidP="000507FC">
      <w:pPr>
        <w:pStyle w:val="Normal2"/>
        <w:tabs>
          <w:tab w:val="left" w:pos="9540"/>
        </w:tabs>
        <w:spacing w:before="120" w:line="360" w:lineRule="auto"/>
        <w:jc w:val="both"/>
        <w:rPr>
          <w:b/>
          <w:color w:val="000000"/>
          <w:sz w:val="24"/>
          <w:szCs w:val="24"/>
          <w:lang w:val="en-US"/>
        </w:rPr>
      </w:pPr>
      <w:r w:rsidRPr="00143088">
        <w:rPr>
          <w:b/>
          <w:color w:val="000000"/>
          <w:sz w:val="24"/>
          <w:szCs w:val="24"/>
          <w:lang w:val="en-US"/>
        </w:rPr>
        <w:t xml:space="preserve">With caution </w:t>
      </w:r>
    </w:p>
    <w:p w:rsidR="00BE1AB7" w:rsidRPr="00143088" w:rsidRDefault="00B304F5" w:rsidP="00082D32">
      <w:pPr>
        <w:spacing w:line="360" w:lineRule="auto"/>
        <w:jc w:val="both"/>
        <w:rPr>
          <w:color w:val="000000"/>
          <w:sz w:val="24"/>
          <w:szCs w:val="24"/>
          <w:lang w:val="en-US"/>
        </w:rPr>
      </w:pPr>
      <w:r w:rsidRPr="00143088">
        <w:rPr>
          <w:color w:val="000000"/>
          <w:sz w:val="24"/>
          <w:szCs w:val="24"/>
          <w:lang w:val="en-US"/>
        </w:rPr>
        <w:t>- chronic renal failure (the drug is used no more than 2 times a week).</w:t>
      </w:r>
    </w:p>
    <w:p w:rsidR="00BE1AB7" w:rsidRPr="00143088" w:rsidRDefault="00B304F5" w:rsidP="000507FC">
      <w:pPr>
        <w:pStyle w:val="11"/>
        <w:spacing w:before="120" w:line="360" w:lineRule="auto"/>
        <w:jc w:val="both"/>
        <w:rPr>
          <w:b/>
          <w:sz w:val="24"/>
          <w:szCs w:val="24"/>
          <w:lang w:val="en-US"/>
        </w:rPr>
      </w:pPr>
      <w:r w:rsidRPr="00143088">
        <w:rPr>
          <w:b/>
          <w:sz w:val="24"/>
          <w:szCs w:val="24"/>
          <w:lang w:val="en-US"/>
        </w:rPr>
        <w:t xml:space="preserve">Use during pregnancy and lactation </w:t>
      </w:r>
    </w:p>
    <w:p w:rsidR="00BE1AB7" w:rsidRPr="00143088" w:rsidRDefault="00B304F5" w:rsidP="00082D32">
      <w:pPr>
        <w:pStyle w:val="11"/>
        <w:spacing w:line="360" w:lineRule="auto"/>
        <w:jc w:val="both"/>
        <w:rPr>
          <w:b/>
          <w:color w:val="000000"/>
          <w:sz w:val="24"/>
          <w:szCs w:val="24"/>
          <w:lang w:val="en-US"/>
        </w:rPr>
      </w:pPr>
      <w:r w:rsidRPr="00143088">
        <w:rPr>
          <w:sz w:val="24"/>
          <w:szCs w:val="24"/>
          <w:lang w:val="en-US"/>
        </w:rPr>
        <w:t>The use of the drug Polyoxidonium</w:t>
      </w:r>
      <w:r w:rsidRPr="00143088">
        <w:rPr>
          <w:sz w:val="24"/>
          <w:szCs w:val="24"/>
          <w:vertAlign w:val="superscript"/>
          <w:lang w:val="en-US"/>
        </w:rPr>
        <w:t>®</w:t>
      </w:r>
      <w:r w:rsidRPr="00143088">
        <w:rPr>
          <w:sz w:val="24"/>
          <w:szCs w:val="24"/>
          <w:lang w:val="en-US"/>
        </w:rPr>
        <w:t xml:space="preserve"> is contraindicated for pregnant women and women during breastfeeding (there is no clinical experience of its use in these conditions).</w:t>
      </w:r>
    </w:p>
    <w:p w:rsidR="00BE1AB7" w:rsidRPr="00143088" w:rsidRDefault="00B304F5" w:rsidP="00082D32">
      <w:pPr>
        <w:pStyle w:val="Normal2"/>
        <w:tabs>
          <w:tab w:val="left" w:pos="9540"/>
        </w:tabs>
        <w:spacing w:line="360" w:lineRule="auto"/>
        <w:jc w:val="both"/>
        <w:rPr>
          <w:sz w:val="24"/>
          <w:szCs w:val="24"/>
          <w:lang w:val="en-US"/>
        </w:rPr>
      </w:pPr>
      <w:r w:rsidRPr="00143088">
        <w:rPr>
          <w:sz w:val="24"/>
          <w:szCs w:val="24"/>
          <w:lang w:val="en-US"/>
        </w:rPr>
        <w:t xml:space="preserve">During the experimental Polyoxidonium® study in animals, there was no effect on fertility function of males and females, embryotoxic and teratogenic effects, effects on the development of the fetus found, both with the introduction of the drug during pregnancy period and during lactation. </w:t>
      </w:r>
    </w:p>
    <w:p w:rsidR="00BE1AB7" w:rsidRPr="00143088" w:rsidRDefault="00B304F5" w:rsidP="000507FC">
      <w:pPr>
        <w:spacing w:before="120" w:line="360" w:lineRule="auto"/>
        <w:jc w:val="both"/>
        <w:rPr>
          <w:b/>
          <w:color w:val="000000"/>
          <w:sz w:val="24"/>
          <w:szCs w:val="24"/>
          <w:lang w:val="en-US"/>
        </w:rPr>
      </w:pPr>
      <w:r w:rsidRPr="00143088">
        <w:rPr>
          <w:b/>
          <w:color w:val="000000"/>
          <w:sz w:val="24"/>
          <w:szCs w:val="24"/>
          <w:lang w:val="en-US"/>
        </w:rPr>
        <w:t>Dosage and Administration</w:t>
      </w:r>
    </w:p>
    <w:p w:rsidR="00BE1AB7" w:rsidRPr="00143088" w:rsidRDefault="00B304F5" w:rsidP="00082D32">
      <w:pPr>
        <w:pStyle w:val="11"/>
        <w:spacing w:line="360" w:lineRule="auto"/>
        <w:jc w:val="both"/>
        <w:rPr>
          <w:color w:val="000000"/>
          <w:sz w:val="24"/>
          <w:szCs w:val="24"/>
          <w:lang w:val="en-US"/>
        </w:rPr>
      </w:pPr>
      <w:r w:rsidRPr="00143088">
        <w:rPr>
          <w:color w:val="000000"/>
          <w:sz w:val="24"/>
          <w:szCs w:val="24"/>
          <w:lang w:val="en-US"/>
        </w:rPr>
        <w:t xml:space="preserve">Route of administration of Polyoxidonium </w:t>
      </w:r>
      <w:r w:rsidRPr="00143088">
        <w:rPr>
          <w:color w:val="000000"/>
          <w:sz w:val="24"/>
          <w:szCs w:val="24"/>
          <w:vertAlign w:val="superscript"/>
          <w:lang w:val="en-US"/>
        </w:rPr>
        <w:t>®</w:t>
      </w:r>
      <w:r w:rsidRPr="00143088">
        <w:rPr>
          <w:color w:val="000000"/>
          <w:sz w:val="24"/>
          <w:szCs w:val="24"/>
          <w:lang w:val="en-US"/>
        </w:rPr>
        <w:t xml:space="preserve">: parenteral, intranasal, sublingual. </w:t>
      </w:r>
    </w:p>
    <w:p w:rsidR="00BE1AB7" w:rsidRPr="00143088" w:rsidRDefault="00B304F5" w:rsidP="00082D32">
      <w:pPr>
        <w:pStyle w:val="11"/>
        <w:spacing w:line="360" w:lineRule="auto"/>
        <w:jc w:val="both"/>
        <w:rPr>
          <w:color w:val="000000"/>
          <w:sz w:val="24"/>
          <w:szCs w:val="24"/>
          <w:lang w:val="en-US"/>
        </w:rPr>
      </w:pPr>
      <w:r w:rsidRPr="00143088">
        <w:rPr>
          <w:color w:val="000000"/>
          <w:sz w:val="24"/>
          <w:szCs w:val="24"/>
          <w:lang w:val="en-US"/>
        </w:rPr>
        <w:lastRenderedPageBreak/>
        <w:t xml:space="preserve">The methods of administration, the dosage regimen, the necessity and frequency of the subsequent courses of therapy are chosen by the doctor depending on the severity of the disease and the age of the patient. </w:t>
      </w:r>
    </w:p>
    <w:p w:rsidR="00BE1AB7" w:rsidRPr="00143088" w:rsidRDefault="00B304F5" w:rsidP="00082D32">
      <w:pPr>
        <w:spacing w:line="360" w:lineRule="auto"/>
        <w:jc w:val="both"/>
        <w:rPr>
          <w:color w:val="000000"/>
          <w:sz w:val="24"/>
          <w:szCs w:val="24"/>
          <w:lang w:val="en-US"/>
        </w:rPr>
      </w:pPr>
      <w:r w:rsidRPr="00143088">
        <w:rPr>
          <w:color w:val="000000"/>
          <w:sz w:val="24"/>
          <w:szCs w:val="24"/>
          <w:lang w:val="en-US"/>
        </w:rPr>
        <w:t>Preparation of solutions for parenteral administration (intramuscularly and intravenously):</w:t>
      </w:r>
    </w:p>
    <w:p w:rsidR="00BE1AB7" w:rsidRPr="00143088" w:rsidRDefault="00B304F5" w:rsidP="00082D32">
      <w:pPr>
        <w:spacing w:line="360" w:lineRule="auto"/>
        <w:jc w:val="both"/>
        <w:rPr>
          <w:color w:val="000000"/>
          <w:sz w:val="24"/>
          <w:szCs w:val="24"/>
          <w:lang w:val="en-US"/>
        </w:rPr>
      </w:pPr>
      <w:r w:rsidRPr="00143088">
        <w:rPr>
          <w:color w:val="000000"/>
          <w:sz w:val="24"/>
          <w:szCs w:val="24"/>
          <w:lang w:val="en-US"/>
        </w:rPr>
        <w:t>For intramuscular administration, Polyoxidonium</w:t>
      </w:r>
      <w:r w:rsidRPr="00143088">
        <w:rPr>
          <w:color w:val="000000"/>
          <w:sz w:val="24"/>
          <w:szCs w:val="24"/>
          <w:vertAlign w:val="superscript"/>
          <w:lang w:val="en-US"/>
        </w:rPr>
        <w:t>®</w:t>
      </w:r>
      <w:r w:rsidRPr="00143088">
        <w:rPr>
          <w:color w:val="000000"/>
          <w:sz w:val="24"/>
          <w:szCs w:val="24"/>
          <w:lang w:val="en-US"/>
        </w:rPr>
        <w:t xml:space="preserve"> 3 mg is dissolved in 1 ml (dose 6 mg in 2 ml) of water for injection or 0.9% sodium chloride solution. After adding the solvent, the drug is left for 2-3 minutes to swell, then mixed with rotary movements without shaking.</w:t>
      </w:r>
    </w:p>
    <w:p w:rsidR="00BE1AB7" w:rsidRPr="00143088" w:rsidRDefault="00B304F5" w:rsidP="00082D32">
      <w:pPr>
        <w:spacing w:line="360" w:lineRule="auto"/>
        <w:jc w:val="both"/>
        <w:rPr>
          <w:color w:val="000000"/>
          <w:sz w:val="24"/>
          <w:szCs w:val="24"/>
          <w:lang w:val="en-US"/>
        </w:rPr>
      </w:pPr>
      <w:r w:rsidRPr="00143088">
        <w:rPr>
          <w:color w:val="000000"/>
          <w:sz w:val="24"/>
          <w:szCs w:val="24"/>
          <w:lang w:val="en-US"/>
        </w:rPr>
        <w:t>For intravenous drop administration, Polyoxidonium</w:t>
      </w:r>
      <w:r w:rsidRPr="00143088">
        <w:rPr>
          <w:color w:val="000000"/>
          <w:sz w:val="24"/>
          <w:szCs w:val="24"/>
          <w:vertAlign w:val="superscript"/>
          <w:lang w:val="en-US"/>
        </w:rPr>
        <w:t>®</w:t>
      </w:r>
      <w:r w:rsidRPr="00143088">
        <w:rPr>
          <w:color w:val="000000"/>
          <w:sz w:val="24"/>
          <w:szCs w:val="24"/>
          <w:lang w:val="en-US"/>
        </w:rPr>
        <w:t xml:space="preserve"> is dissolved in 2 ml of sterile 0.9% sodium chloride solution. After adding the solvent, the drug is left for 2-3 minutes to swell, then mixed with rotary movements. The dose adjusted for the patient is sterilely transferred into the vial</w:t>
      </w:r>
      <w:r w:rsidRPr="00143088">
        <w:rPr>
          <w:color w:val="000000"/>
          <w:sz w:val="24"/>
          <w:szCs w:val="24"/>
          <w:lang w:val="en-US"/>
        </w:rPr>
        <w:br/>
        <w:t>/bag with 0.9% sodium chloride solution.</w:t>
      </w:r>
    </w:p>
    <w:p w:rsidR="00BE1AB7" w:rsidRPr="00143088" w:rsidRDefault="00B304F5" w:rsidP="00082D32">
      <w:pPr>
        <w:spacing w:line="360" w:lineRule="auto"/>
        <w:jc w:val="both"/>
        <w:rPr>
          <w:color w:val="000000"/>
          <w:sz w:val="24"/>
          <w:szCs w:val="24"/>
          <w:lang w:val="en-US"/>
        </w:rPr>
      </w:pPr>
      <w:r w:rsidRPr="00143088">
        <w:rPr>
          <w:color w:val="000000"/>
          <w:sz w:val="24"/>
          <w:szCs w:val="24"/>
          <w:lang w:val="en-US"/>
        </w:rPr>
        <w:t>The prepared solution for parenteral administration is not subjected to storage.</w:t>
      </w:r>
    </w:p>
    <w:p w:rsidR="00BE1AB7" w:rsidRPr="00143088" w:rsidRDefault="00B304F5" w:rsidP="00082D32">
      <w:pPr>
        <w:spacing w:line="360" w:lineRule="auto"/>
        <w:jc w:val="both"/>
        <w:rPr>
          <w:color w:val="000000"/>
          <w:sz w:val="24"/>
          <w:szCs w:val="24"/>
          <w:lang w:val="en-US"/>
        </w:rPr>
      </w:pPr>
      <w:r w:rsidRPr="00143088">
        <w:rPr>
          <w:color w:val="000000"/>
          <w:sz w:val="24"/>
          <w:szCs w:val="24"/>
          <w:lang w:val="en-US"/>
        </w:rPr>
        <w:t xml:space="preserve">Preparation of the solution for intranasal and sublingual administration: </w:t>
      </w:r>
    </w:p>
    <w:p w:rsidR="00BE1AB7" w:rsidRPr="00143088" w:rsidRDefault="00B304F5" w:rsidP="00082D32">
      <w:pPr>
        <w:spacing w:line="360" w:lineRule="auto"/>
        <w:jc w:val="both"/>
        <w:rPr>
          <w:color w:val="000000"/>
          <w:sz w:val="24"/>
          <w:szCs w:val="24"/>
          <w:lang w:val="en-US"/>
        </w:rPr>
      </w:pPr>
      <w:r w:rsidRPr="00143088">
        <w:rPr>
          <w:b/>
          <w:color w:val="000000"/>
          <w:sz w:val="24"/>
          <w:szCs w:val="24"/>
          <w:lang w:val="en-US"/>
        </w:rPr>
        <w:t>for children</w:t>
      </w:r>
      <w:r w:rsidRPr="00143088">
        <w:rPr>
          <w:color w:val="000000"/>
          <w:sz w:val="24"/>
          <w:szCs w:val="24"/>
          <w:lang w:val="en-US"/>
        </w:rPr>
        <w:t>,  3 mg dose is dissolved in 1.0 ml (20 drops), 6 mg dose  in 2.0 ml (40 drops) (one drop (0,05 ml) of the prepared solution contains 0.15 mg of the drug);</w:t>
      </w:r>
    </w:p>
    <w:p w:rsidR="00BE1AB7" w:rsidRPr="00143088" w:rsidRDefault="00B304F5" w:rsidP="00082D32">
      <w:pPr>
        <w:spacing w:line="360" w:lineRule="auto"/>
        <w:jc w:val="both"/>
        <w:rPr>
          <w:color w:val="000000"/>
          <w:sz w:val="24"/>
          <w:szCs w:val="24"/>
          <w:lang w:val="en-US"/>
        </w:rPr>
      </w:pPr>
      <w:r w:rsidRPr="00143088">
        <w:rPr>
          <w:b/>
          <w:color w:val="000000"/>
          <w:sz w:val="24"/>
          <w:szCs w:val="24"/>
          <w:lang w:val="en-US"/>
        </w:rPr>
        <w:t>for adults</w:t>
      </w:r>
      <w:r w:rsidR="00143088">
        <w:rPr>
          <w:color w:val="000000"/>
          <w:sz w:val="24"/>
          <w:szCs w:val="24"/>
          <w:lang w:val="en-US"/>
        </w:rPr>
        <w:t>,</w:t>
      </w:r>
      <w:r w:rsidRPr="00143088">
        <w:rPr>
          <w:color w:val="000000"/>
          <w:sz w:val="24"/>
          <w:szCs w:val="24"/>
          <w:lang w:val="en-US"/>
        </w:rPr>
        <w:t xml:space="preserve"> 6 mg dose is dissolved in 1.0 ml (20 drops) of distilled water, </w:t>
      </w:r>
      <w:r w:rsidRPr="00143088">
        <w:rPr>
          <w:color w:val="000000"/>
          <w:sz w:val="24"/>
          <w:szCs w:val="24"/>
          <w:lang w:val="en-US"/>
        </w:rPr>
        <w:br/>
        <w:t>0.9% sodium chloride solution or boiled water at room temperature.</w:t>
      </w:r>
    </w:p>
    <w:p w:rsidR="00556A0D" w:rsidRPr="00143088" w:rsidRDefault="00556A0D" w:rsidP="00082D32">
      <w:pPr>
        <w:spacing w:line="360" w:lineRule="auto"/>
        <w:jc w:val="both"/>
        <w:rPr>
          <w:color w:val="000000"/>
          <w:sz w:val="24"/>
          <w:szCs w:val="24"/>
          <w:lang w:val="en-US"/>
        </w:rPr>
      </w:pPr>
    </w:p>
    <w:p w:rsidR="00BE1AB7" w:rsidRPr="00143088" w:rsidRDefault="00B304F5" w:rsidP="00082D32">
      <w:pPr>
        <w:pStyle w:val="11"/>
        <w:spacing w:line="360" w:lineRule="auto"/>
        <w:rPr>
          <w:b/>
          <w:color w:val="000000"/>
          <w:sz w:val="24"/>
          <w:szCs w:val="24"/>
          <w:lang w:val="en-US"/>
        </w:rPr>
      </w:pPr>
      <w:r w:rsidRPr="00143088">
        <w:rPr>
          <w:b/>
          <w:color w:val="000000"/>
          <w:sz w:val="24"/>
          <w:szCs w:val="24"/>
          <w:lang w:val="en-US"/>
        </w:rPr>
        <w:t>Posology and Administration in adults</w:t>
      </w:r>
    </w:p>
    <w:p w:rsidR="00BE1AB7" w:rsidRPr="00143088" w:rsidRDefault="00B304F5" w:rsidP="00082D32">
      <w:pPr>
        <w:pStyle w:val="11"/>
        <w:spacing w:line="360" w:lineRule="auto"/>
        <w:jc w:val="both"/>
        <w:rPr>
          <w:i/>
          <w:color w:val="000000"/>
          <w:sz w:val="24"/>
          <w:szCs w:val="24"/>
          <w:lang w:val="en-US"/>
        </w:rPr>
      </w:pPr>
      <w:r w:rsidRPr="00143088">
        <w:rPr>
          <w:color w:val="000000"/>
          <w:sz w:val="24"/>
          <w:szCs w:val="24"/>
          <w:lang w:val="en-US"/>
        </w:rPr>
        <w:t xml:space="preserve">The </w:t>
      </w:r>
      <w:r w:rsidR="00143088">
        <w:rPr>
          <w:color w:val="000000"/>
          <w:sz w:val="24"/>
          <w:szCs w:val="24"/>
          <w:lang w:val="en-US"/>
        </w:rPr>
        <w:t>medicinal product</w:t>
      </w:r>
      <w:r w:rsidRPr="00143088">
        <w:rPr>
          <w:color w:val="000000"/>
          <w:sz w:val="24"/>
          <w:szCs w:val="24"/>
          <w:lang w:val="en-US"/>
        </w:rPr>
        <w:t xml:space="preserve"> is administered parenterally (intramuscularly or intravenously): at doses 6-12 mg once daily, or every other day, or 1-2 times a week depending on diagnosis and disease severity. </w:t>
      </w:r>
    </w:p>
    <w:p w:rsidR="00BE1AB7" w:rsidRPr="00143088" w:rsidRDefault="00B304F5" w:rsidP="00082D32">
      <w:pPr>
        <w:snapToGrid w:val="0"/>
        <w:spacing w:line="360" w:lineRule="auto"/>
        <w:ind w:firstLine="709"/>
        <w:jc w:val="both"/>
        <w:rPr>
          <w:color w:val="000000"/>
          <w:sz w:val="24"/>
          <w:szCs w:val="24"/>
          <w:lang w:val="en-US"/>
        </w:rPr>
      </w:pPr>
      <w:r w:rsidRPr="00143088">
        <w:rPr>
          <w:sz w:val="24"/>
          <w:szCs w:val="24"/>
          <w:u w:val="single"/>
          <w:lang w:val="en-US"/>
        </w:rPr>
        <w:t xml:space="preserve">During </w:t>
      </w:r>
      <w:r w:rsidR="003F7AE6">
        <w:rPr>
          <w:sz w:val="24"/>
          <w:szCs w:val="24"/>
          <w:u w:val="single"/>
          <w:lang w:val="en-US"/>
        </w:rPr>
        <w:t>a</w:t>
      </w:r>
      <w:r w:rsidRPr="00143088">
        <w:rPr>
          <w:sz w:val="24"/>
          <w:szCs w:val="24"/>
          <w:u w:val="single"/>
          <w:lang w:val="en-US"/>
        </w:rPr>
        <w:t>cute viral, bacterial infections of ENT organs, upper and lower respiratory tract, gynecological and urological diseases</w:t>
      </w:r>
      <w:r w:rsidRPr="00143088">
        <w:rPr>
          <w:sz w:val="24"/>
          <w:szCs w:val="24"/>
          <w:lang w:val="en-US"/>
        </w:rPr>
        <w:t>: 6 mg daily for 3 days, then every other day by total course 10 injections.</w:t>
      </w:r>
    </w:p>
    <w:p w:rsidR="00BE1AB7" w:rsidRPr="00143088" w:rsidRDefault="00B304F5" w:rsidP="00082D32">
      <w:pPr>
        <w:snapToGrid w:val="0"/>
        <w:spacing w:line="360" w:lineRule="auto"/>
        <w:ind w:firstLine="709"/>
        <w:jc w:val="both"/>
        <w:rPr>
          <w:color w:val="000000"/>
          <w:sz w:val="24"/>
          <w:szCs w:val="24"/>
          <w:u w:val="single"/>
          <w:lang w:val="en-US"/>
        </w:rPr>
      </w:pPr>
      <w:r w:rsidRPr="00143088">
        <w:rPr>
          <w:sz w:val="24"/>
          <w:szCs w:val="24"/>
          <w:u w:val="single"/>
          <w:lang w:val="en-US"/>
        </w:rPr>
        <w:t>During chronic recurrent infectious and inflammatory diseases of various localization, bacterial, viral and fungal etiology in the acute stage:</w:t>
      </w:r>
      <w:r w:rsidRPr="00143088">
        <w:rPr>
          <w:sz w:val="24"/>
          <w:szCs w:val="24"/>
          <w:lang w:val="en-US"/>
        </w:rPr>
        <w:t xml:space="preserve"> 6 mg every other day 5 injections, then 2 times a week by the course 10 injections.</w:t>
      </w:r>
    </w:p>
    <w:p w:rsidR="00BE1AB7" w:rsidRPr="00143088" w:rsidRDefault="00B304F5" w:rsidP="00082D32">
      <w:pPr>
        <w:snapToGrid w:val="0"/>
        <w:spacing w:line="360" w:lineRule="auto"/>
        <w:ind w:firstLine="709"/>
        <w:jc w:val="both"/>
        <w:rPr>
          <w:color w:val="000000"/>
          <w:sz w:val="24"/>
          <w:szCs w:val="24"/>
          <w:lang w:val="en-US"/>
        </w:rPr>
      </w:pPr>
      <w:r w:rsidRPr="00143088">
        <w:rPr>
          <w:sz w:val="24"/>
          <w:szCs w:val="24"/>
          <w:u w:val="single"/>
          <w:lang w:val="en-US"/>
        </w:rPr>
        <w:t>Acute and chronic allergic diseases (including pollen fever,  bronchial asthma, atopic dermatitis), complicated  bacterial, viral and fungal infections:</w:t>
      </w:r>
      <w:r w:rsidRPr="00143088">
        <w:rPr>
          <w:sz w:val="24"/>
          <w:szCs w:val="24"/>
          <w:lang w:val="en-US"/>
        </w:rPr>
        <w:t xml:space="preserve"> 6-12 mg course of 5 injections.</w:t>
      </w:r>
    </w:p>
    <w:p w:rsidR="00BE1AB7" w:rsidRPr="00143088" w:rsidRDefault="00B304F5" w:rsidP="00082D32">
      <w:pPr>
        <w:pStyle w:val="11"/>
        <w:numPr>
          <w:ilvl w:val="12"/>
          <w:numId w:val="0"/>
        </w:numPr>
        <w:spacing w:line="360" w:lineRule="auto"/>
        <w:ind w:firstLine="709"/>
        <w:jc w:val="both"/>
        <w:rPr>
          <w:i/>
          <w:color w:val="000000"/>
          <w:sz w:val="24"/>
          <w:szCs w:val="24"/>
          <w:lang w:val="en-US"/>
        </w:rPr>
      </w:pPr>
      <w:r w:rsidRPr="00143088">
        <w:rPr>
          <w:color w:val="000000"/>
          <w:sz w:val="24"/>
          <w:szCs w:val="24"/>
          <w:u w:val="single"/>
          <w:lang w:val="en-US"/>
        </w:rPr>
        <w:t>Rheumatoid arthritis complicated by bacterial, viral and fungal infections associated with the prolonged use of immunosuppressants:</w:t>
      </w:r>
      <w:r w:rsidR="003F7AE6">
        <w:rPr>
          <w:color w:val="000000"/>
          <w:sz w:val="24"/>
          <w:szCs w:val="24"/>
          <w:u w:val="single"/>
          <w:lang w:val="en-US"/>
        </w:rPr>
        <w:t xml:space="preserve"> </w:t>
      </w:r>
      <w:r w:rsidRPr="003F7AE6">
        <w:rPr>
          <w:color w:val="000000"/>
          <w:sz w:val="24"/>
          <w:szCs w:val="24"/>
          <w:lang w:val="en-US"/>
        </w:rPr>
        <w:t>6 mg every other day 5 injections, then 2 times a week by the course 10 injections.</w:t>
      </w:r>
    </w:p>
    <w:p w:rsidR="00BE1AB7" w:rsidRPr="00143088" w:rsidRDefault="00B304F5" w:rsidP="00082D32">
      <w:pPr>
        <w:snapToGrid w:val="0"/>
        <w:spacing w:line="360" w:lineRule="auto"/>
        <w:ind w:firstLine="709"/>
        <w:jc w:val="both"/>
        <w:rPr>
          <w:color w:val="000000"/>
          <w:sz w:val="24"/>
          <w:szCs w:val="24"/>
          <w:lang w:val="en-US"/>
        </w:rPr>
      </w:pPr>
      <w:r w:rsidRPr="00143088">
        <w:rPr>
          <w:color w:val="000000"/>
          <w:sz w:val="24"/>
          <w:szCs w:val="24"/>
          <w:u w:val="single"/>
          <w:lang w:val="en-US"/>
        </w:rPr>
        <w:t>Generalized surgical infections:</w:t>
      </w:r>
      <w:r w:rsidRPr="00143088">
        <w:rPr>
          <w:sz w:val="24"/>
          <w:szCs w:val="24"/>
          <w:lang w:val="en-US"/>
        </w:rPr>
        <w:t xml:space="preserve"> 6 mg daily for 3 days, then every other day by total course 10 injections.</w:t>
      </w:r>
    </w:p>
    <w:p w:rsidR="00BE1AB7" w:rsidRPr="00143088" w:rsidRDefault="00B304F5" w:rsidP="00082D32">
      <w:pPr>
        <w:snapToGrid w:val="0"/>
        <w:spacing w:line="360" w:lineRule="auto"/>
        <w:ind w:firstLine="709"/>
        <w:jc w:val="both"/>
        <w:rPr>
          <w:color w:val="000000"/>
          <w:sz w:val="24"/>
          <w:szCs w:val="24"/>
          <w:lang w:val="en-US"/>
        </w:rPr>
      </w:pPr>
      <w:r w:rsidRPr="00143088">
        <w:rPr>
          <w:color w:val="000000"/>
          <w:sz w:val="24"/>
          <w:szCs w:val="24"/>
          <w:u w:val="single"/>
          <w:lang w:val="en-US"/>
        </w:rPr>
        <w:lastRenderedPageBreak/>
        <w:t>For activation of regeneration processes (fractures, burns, trophic ulcers); 6 mg for 3 days, then every other day by total course of 10 injections.</w:t>
      </w:r>
    </w:p>
    <w:p w:rsidR="00BE1AB7" w:rsidRPr="00143088" w:rsidRDefault="00B304F5" w:rsidP="00082D32">
      <w:pPr>
        <w:snapToGrid w:val="0"/>
        <w:spacing w:line="360" w:lineRule="auto"/>
        <w:ind w:firstLine="709"/>
        <w:jc w:val="both"/>
        <w:rPr>
          <w:color w:val="000000"/>
          <w:sz w:val="24"/>
          <w:szCs w:val="24"/>
          <w:u w:val="single"/>
          <w:lang w:val="en-US"/>
        </w:rPr>
      </w:pPr>
      <w:r w:rsidRPr="00143088">
        <w:rPr>
          <w:color w:val="000000"/>
          <w:sz w:val="24"/>
          <w:szCs w:val="24"/>
          <w:u w:val="single"/>
          <w:lang w:val="en-US"/>
        </w:rPr>
        <w:t>Prevention of post-surgery infectious complications: 6 mg every other day, course of 5 injections.</w:t>
      </w:r>
    </w:p>
    <w:p w:rsidR="00BE1AB7" w:rsidRPr="00143088" w:rsidRDefault="00B304F5" w:rsidP="00082D32">
      <w:pPr>
        <w:pStyle w:val="11"/>
        <w:numPr>
          <w:ilvl w:val="12"/>
          <w:numId w:val="0"/>
        </w:numPr>
        <w:spacing w:line="360" w:lineRule="auto"/>
        <w:ind w:firstLine="709"/>
        <w:jc w:val="both"/>
        <w:rPr>
          <w:color w:val="000000"/>
          <w:sz w:val="24"/>
          <w:szCs w:val="24"/>
          <w:lang w:val="en-US"/>
        </w:rPr>
      </w:pPr>
      <w:r w:rsidRPr="003F7AE6">
        <w:rPr>
          <w:color w:val="000000"/>
          <w:sz w:val="24"/>
          <w:szCs w:val="24"/>
          <w:u w:val="single"/>
          <w:lang w:val="en-US"/>
        </w:rPr>
        <w:t>Lungs tuberculosis</w:t>
      </w:r>
      <w:r w:rsidRPr="00143088">
        <w:rPr>
          <w:color w:val="000000"/>
          <w:sz w:val="24"/>
          <w:szCs w:val="24"/>
          <w:lang w:val="en-US"/>
        </w:rPr>
        <w:t>: 6 mg 2 times a week by the course of 20 injections.</w:t>
      </w:r>
    </w:p>
    <w:p w:rsidR="00BE1AB7" w:rsidRPr="00143088" w:rsidRDefault="00B304F5" w:rsidP="00082D32">
      <w:pPr>
        <w:pStyle w:val="11"/>
        <w:spacing w:line="360" w:lineRule="auto"/>
        <w:ind w:firstLine="709"/>
        <w:jc w:val="both"/>
        <w:rPr>
          <w:color w:val="000000"/>
          <w:sz w:val="24"/>
          <w:szCs w:val="24"/>
          <w:u w:val="single"/>
          <w:lang w:val="en-US"/>
        </w:rPr>
      </w:pPr>
      <w:r w:rsidRPr="00143088">
        <w:rPr>
          <w:color w:val="000000"/>
          <w:sz w:val="24"/>
          <w:szCs w:val="24"/>
          <w:u w:val="single"/>
          <w:lang w:val="en-US"/>
        </w:rPr>
        <w:t>In oncological patients:</w:t>
      </w:r>
    </w:p>
    <w:p w:rsidR="00BE1AB7" w:rsidRPr="00143088" w:rsidRDefault="003F7AE6" w:rsidP="00082D32">
      <w:pPr>
        <w:pStyle w:val="11"/>
        <w:spacing w:line="360" w:lineRule="auto"/>
        <w:ind w:firstLine="540"/>
        <w:jc w:val="both"/>
        <w:rPr>
          <w:color w:val="000000"/>
          <w:sz w:val="24"/>
          <w:szCs w:val="24"/>
          <w:lang w:val="en-US"/>
        </w:rPr>
      </w:pPr>
      <w:r>
        <w:rPr>
          <w:color w:val="000000"/>
          <w:sz w:val="24"/>
          <w:szCs w:val="24"/>
          <w:lang w:val="en-US"/>
        </w:rPr>
        <w:t xml:space="preserve">- </w:t>
      </w:r>
      <w:r w:rsidR="00B304F5" w:rsidRPr="00143088">
        <w:rPr>
          <w:color w:val="000000"/>
          <w:sz w:val="24"/>
          <w:szCs w:val="24"/>
          <w:lang w:val="en-US"/>
        </w:rPr>
        <w:t xml:space="preserve">ahead and against the background of chemotherapy to decrease immunosuppressive, hepato- and nephrotoxic action of chemotherapeutic agents </w:t>
      </w:r>
      <w:r w:rsidR="00B304F5" w:rsidRPr="00952B4B">
        <w:rPr>
          <w:color w:val="000000"/>
          <w:sz w:val="24"/>
          <w:szCs w:val="24"/>
          <w:highlight w:val="yellow"/>
          <w:lang w:val="en-US"/>
        </w:rPr>
        <w:t>6</w:t>
      </w:r>
      <w:r w:rsidR="00952B4B" w:rsidRPr="00952B4B">
        <w:rPr>
          <w:color w:val="000000"/>
          <w:sz w:val="24"/>
          <w:szCs w:val="24"/>
          <w:highlight w:val="yellow"/>
          <w:lang w:val="en-US"/>
        </w:rPr>
        <w:t xml:space="preserve"> </w:t>
      </w:r>
      <w:r w:rsidR="00B304F5" w:rsidRPr="00952B4B">
        <w:rPr>
          <w:color w:val="000000"/>
          <w:sz w:val="24"/>
          <w:szCs w:val="24"/>
          <w:highlight w:val="yellow"/>
          <w:lang w:val="en-US"/>
        </w:rPr>
        <w:t>mg</w:t>
      </w:r>
      <w:bookmarkStart w:id="0" w:name="_GoBack"/>
      <w:bookmarkEnd w:id="0"/>
      <w:r w:rsidR="00B304F5" w:rsidRPr="00143088">
        <w:rPr>
          <w:color w:val="000000"/>
          <w:sz w:val="24"/>
          <w:szCs w:val="24"/>
          <w:lang w:val="en-US"/>
        </w:rPr>
        <w:t xml:space="preserve"> every other day by course of </w:t>
      </w:r>
      <w:r w:rsidR="00B304F5" w:rsidRPr="00143088">
        <w:rPr>
          <w:color w:val="000000"/>
          <w:sz w:val="24"/>
          <w:szCs w:val="24"/>
          <w:lang w:val="en-US"/>
        </w:rPr>
        <w:br/>
        <w:t>10 injections;</w:t>
      </w:r>
      <w:r w:rsidR="00B304F5" w:rsidRPr="00143088">
        <w:rPr>
          <w:sz w:val="24"/>
          <w:szCs w:val="24"/>
          <w:lang w:val="en-US"/>
        </w:rPr>
        <w:t xml:space="preserve"> further the frequency of injection is defined by</w:t>
      </w:r>
      <w:r>
        <w:rPr>
          <w:sz w:val="24"/>
          <w:szCs w:val="24"/>
          <w:lang w:val="en-US"/>
        </w:rPr>
        <w:t xml:space="preserve"> a</w:t>
      </w:r>
      <w:r w:rsidR="00B304F5" w:rsidRPr="00143088">
        <w:rPr>
          <w:sz w:val="24"/>
          <w:szCs w:val="24"/>
          <w:lang w:val="en-US"/>
        </w:rPr>
        <w:t xml:space="preserve"> </w:t>
      </w:r>
      <w:r>
        <w:rPr>
          <w:sz w:val="24"/>
          <w:szCs w:val="24"/>
          <w:lang w:val="en-US"/>
        </w:rPr>
        <w:t>d</w:t>
      </w:r>
      <w:r w:rsidR="00B304F5" w:rsidRPr="00143088">
        <w:rPr>
          <w:sz w:val="24"/>
          <w:szCs w:val="24"/>
          <w:lang w:val="en-US"/>
        </w:rPr>
        <w:t>octor depending on tolerance and duration of chemo- and X-ray therapy treatment;</w:t>
      </w:r>
    </w:p>
    <w:p w:rsidR="00BE1AB7" w:rsidRPr="00143088" w:rsidRDefault="003F7AE6" w:rsidP="00082D32">
      <w:pPr>
        <w:pStyle w:val="11"/>
        <w:spacing w:line="360" w:lineRule="auto"/>
        <w:ind w:firstLine="540"/>
        <w:jc w:val="both"/>
        <w:rPr>
          <w:color w:val="000000"/>
          <w:sz w:val="24"/>
          <w:szCs w:val="24"/>
          <w:lang w:val="en-US"/>
        </w:rPr>
      </w:pPr>
      <w:r>
        <w:rPr>
          <w:color w:val="000000"/>
          <w:sz w:val="24"/>
          <w:szCs w:val="24"/>
          <w:lang w:val="en-US"/>
        </w:rPr>
        <w:t xml:space="preserve">- </w:t>
      </w:r>
      <w:r w:rsidR="00B304F5" w:rsidRPr="00143088">
        <w:rPr>
          <w:color w:val="000000"/>
          <w:sz w:val="24"/>
          <w:szCs w:val="24"/>
          <w:lang w:val="en-US"/>
        </w:rPr>
        <w:t xml:space="preserve">for the prevention of immunosuppressive effect of tumor, for correction of immunodeficiency after chemo- and radiation therapy, after surgical tumor removal long-term using of Polyoxidonium (from 2-3 months to 1 year) 6 mg 1-2 times a week is indicated. When prescribing a long-term course, there is no </w:t>
      </w:r>
      <w:r w:rsidRPr="00143088">
        <w:rPr>
          <w:color w:val="000000"/>
          <w:sz w:val="24"/>
          <w:szCs w:val="24"/>
          <w:lang w:val="en-US"/>
        </w:rPr>
        <w:t>accumulation</w:t>
      </w:r>
      <w:r w:rsidR="00B304F5" w:rsidRPr="00143088">
        <w:rPr>
          <w:color w:val="000000"/>
          <w:sz w:val="24"/>
          <w:szCs w:val="24"/>
          <w:lang w:val="en-US"/>
        </w:rPr>
        <w:t xml:space="preserve"> effect, manifestations of toxicity and addiction. </w:t>
      </w:r>
    </w:p>
    <w:p w:rsidR="00BE1AB7" w:rsidRPr="00143088" w:rsidRDefault="00B304F5" w:rsidP="000507FC">
      <w:pPr>
        <w:pStyle w:val="11"/>
        <w:spacing w:before="120" w:line="360" w:lineRule="auto"/>
        <w:jc w:val="both"/>
        <w:rPr>
          <w:color w:val="000000"/>
          <w:sz w:val="24"/>
          <w:szCs w:val="24"/>
          <w:lang w:val="en-US"/>
        </w:rPr>
      </w:pPr>
      <w:r w:rsidRPr="00143088">
        <w:rPr>
          <w:color w:val="000000"/>
          <w:sz w:val="24"/>
          <w:szCs w:val="24"/>
          <w:lang w:val="en-US"/>
        </w:rPr>
        <w:t xml:space="preserve">For intranasal administration administer 6 mg per day (3 drops in each nasal lumen 3 times a day - for 10 days): </w:t>
      </w:r>
    </w:p>
    <w:p w:rsidR="00BE1AB7" w:rsidRPr="00143088" w:rsidRDefault="00B304F5" w:rsidP="00082D32">
      <w:pPr>
        <w:pStyle w:val="11"/>
        <w:spacing w:line="360" w:lineRule="auto"/>
        <w:ind w:firstLine="567"/>
        <w:jc w:val="both"/>
        <w:rPr>
          <w:color w:val="000000"/>
          <w:sz w:val="24"/>
          <w:szCs w:val="24"/>
          <w:lang w:val="en-US"/>
        </w:rPr>
      </w:pPr>
      <w:r w:rsidRPr="00143088">
        <w:rPr>
          <w:color w:val="000000"/>
          <w:sz w:val="24"/>
          <w:szCs w:val="24"/>
          <w:lang w:val="en-US"/>
        </w:rPr>
        <w:t>- for the treatment of acute and exacerbations of chronic ENT-organs infections;</w:t>
      </w:r>
    </w:p>
    <w:p w:rsidR="00BE1AB7" w:rsidRPr="00143088" w:rsidRDefault="00B304F5" w:rsidP="00082D32">
      <w:pPr>
        <w:pStyle w:val="11"/>
        <w:spacing w:line="360" w:lineRule="auto"/>
        <w:ind w:firstLine="567"/>
        <w:jc w:val="both"/>
        <w:rPr>
          <w:color w:val="000000"/>
          <w:sz w:val="24"/>
          <w:szCs w:val="24"/>
          <w:lang w:val="en-US"/>
        </w:rPr>
      </w:pPr>
      <w:r w:rsidRPr="00143088">
        <w:rPr>
          <w:color w:val="000000"/>
          <w:sz w:val="24"/>
          <w:szCs w:val="24"/>
          <w:lang w:val="en-US"/>
        </w:rPr>
        <w:t>- to enhance the regenerative processes of the mucous membranes;</w:t>
      </w:r>
    </w:p>
    <w:p w:rsidR="00BE1AB7" w:rsidRPr="00143088" w:rsidRDefault="00B304F5" w:rsidP="00082D32">
      <w:pPr>
        <w:pStyle w:val="11"/>
        <w:spacing w:line="360" w:lineRule="auto"/>
        <w:ind w:firstLine="567"/>
        <w:jc w:val="both"/>
        <w:rPr>
          <w:color w:val="000000"/>
          <w:sz w:val="24"/>
          <w:szCs w:val="24"/>
          <w:lang w:val="en-US"/>
        </w:rPr>
      </w:pPr>
      <w:r w:rsidRPr="00143088">
        <w:rPr>
          <w:color w:val="000000"/>
          <w:sz w:val="24"/>
          <w:szCs w:val="24"/>
          <w:lang w:val="en-US"/>
        </w:rPr>
        <w:t xml:space="preserve">- to prevent chronic diseases complications and relapses; </w:t>
      </w:r>
    </w:p>
    <w:p w:rsidR="00BE1AB7" w:rsidRPr="00143088" w:rsidRDefault="00B304F5" w:rsidP="00082D32">
      <w:pPr>
        <w:pStyle w:val="11"/>
        <w:spacing w:line="360" w:lineRule="auto"/>
        <w:ind w:firstLine="567"/>
        <w:jc w:val="both"/>
        <w:rPr>
          <w:color w:val="000000"/>
          <w:sz w:val="24"/>
          <w:szCs w:val="24"/>
          <w:lang w:val="en-US"/>
        </w:rPr>
      </w:pPr>
      <w:r w:rsidRPr="00143088">
        <w:rPr>
          <w:color w:val="000000"/>
          <w:sz w:val="24"/>
          <w:szCs w:val="24"/>
          <w:lang w:val="en-US"/>
        </w:rPr>
        <w:t xml:space="preserve">- for prophylaxis of influenza and ARVI </w:t>
      </w:r>
    </w:p>
    <w:p w:rsidR="00BE1AB7" w:rsidRPr="003F7AE6" w:rsidRDefault="00B304F5" w:rsidP="000507FC">
      <w:pPr>
        <w:pStyle w:val="11"/>
        <w:spacing w:before="120" w:line="360" w:lineRule="auto"/>
        <w:ind w:right="-68"/>
        <w:rPr>
          <w:b/>
          <w:color w:val="000000"/>
          <w:sz w:val="24"/>
          <w:szCs w:val="24"/>
          <w:lang w:val="en-US"/>
        </w:rPr>
      </w:pPr>
      <w:r w:rsidRPr="00143088">
        <w:rPr>
          <w:b/>
          <w:color w:val="000000"/>
          <w:sz w:val="24"/>
          <w:szCs w:val="24"/>
          <w:lang w:val="en-US"/>
        </w:rPr>
        <w:t xml:space="preserve">Posology and Administration in </w:t>
      </w:r>
      <w:r w:rsidR="003F7AE6">
        <w:rPr>
          <w:b/>
          <w:color w:val="000000"/>
          <w:sz w:val="24"/>
          <w:szCs w:val="24"/>
          <w:lang w:val="en-US"/>
        </w:rPr>
        <w:t>children</w:t>
      </w:r>
    </w:p>
    <w:p w:rsidR="00BE1AB7" w:rsidRPr="00143088" w:rsidRDefault="00B304F5" w:rsidP="000471D3">
      <w:pPr>
        <w:pStyle w:val="11"/>
        <w:spacing w:line="360" w:lineRule="auto"/>
        <w:ind w:right="-142"/>
        <w:jc w:val="both"/>
        <w:rPr>
          <w:color w:val="000000"/>
          <w:sz w:val="24"/>
          <w:szCs w:val="24"/>
          <w:lang w:val="en-US"/>
        </w:rPr>
      </w:pPr>
      <w:r w:rsidRPr="00143088">
        <w:rPr>
          <w:color w:val="000000"/>
          <w:sz w:val="24"/>
          <w:szCs w:val="24"/>
          <w:lang w:val="en-US"/>
        </w:rPr>
        <w:t xml:space="preserve">Route of administration of Polyoxidonium </w:t>
      </w:r>
      <w:r w:rsidRPr="00143088">
        <w:rPr>
          <w:color w:val="000000"/>
          <w:sz w:val="24"/>
          <w:szCs w:val="24"/>
          <w:vertAlign w:val="superscript"/>
          <w:lang w:val="en-US"/>
        </w:rPr>
        <w:t>®</w:t>
      </w:r>
      <w:r w:rsidRPr="00143088">
        <w:rPr>
          <w:color w:val="000000"/>
          <w:sz w:val="24"/>
          <w:szCs w:val="24"/>
          <w:lang w:val="en-US"/>
        </w:rPr>
        <w:t>: parenteral, intranasal, sublingual. The methods of administration are chosen by a physician depending on disease severity and age of the patient.</w:t>
      </w:r>
    </w:p>
    <w:p w:rsidR="00BE1AB7" w:rsidRPr="00143088" w:rsidRDefault="00B304F5" w:rsidP="005E7AF0">
      <w:pPr>
        <w:pStyle w:val="110"/>
        <w:spacing w:line="360" w:lineRule="auto"/>
        <w:jc w:val="both"/>
        <w:rPr>
          <w:color w:val="000000"/>
          <w:sz w:val="24"/>
          <w:szCs w:val="24"/>
          <w:lang w:val="en-US"/>
        </w:rPr>
      </w:pPr>
      <w:r w:rsidRPr="00143088">
        <w:rPr>
          <w:color w:val="000000"/>
          <w:sz w:val="24"/>
          <w:szCs w:val="24"/>
          <w:lang w:val="en-US"/>
        </w:rPr>
        <w:t>Parenteral (intramuscular or intravenous): administered to children from 6 months at a dose of 0.1-0.15 mg/kg daily, every other day or 2 times a week with a course of 5-10 injections.</w:t>
      </w:r>
    </w:p>
    <w:p w:rsidR="00BE1AB7" w:rsidRPr="00143088" w:rsidRDefault="00B304F5" w:rsidP="000507FC">
      <w:pPr>
        <w:pStyle w:val="110"/>
        <w:spacing w:before="120" w:line="360" w:lineRule="auto"/>
        <w:jc w:val="both"/>
        <w:rPr>
          <w:color w:val="000000"/>
          <w:sz w:val="24"/>
          <w:szCs w:val="24"/>
          <w:lang w:val="en-US"/>
        </w:rPr>
      </w:pPr>
      <w:r w:rsidRPr="00143088">
        <w:rPr>
          <w:color w:val="000000"/>
          <w:sz w:val="24"/>
          <w:szCs w:val="24"/>
          <w:lang w:val="en-US"/>
        </w:rPr>
        <w:t>Intranasal and sublingual:</w:t>
      </w:r>
      <w:r w:rsidRPr="00143088">
        <w:rPr>
          <w:i/>
          <w:color w:val="000000"/>
          <w:sz w:val="24"/>
          <w:szCs w:val="24"/>
          <w:lang w:val="en-US"/>
        </w:rPr>
        <w:t xml:space="preserve"> </w:t>
      </w:r>
      <w:r w:rsidRPr="00143088">
        <w:rPr>
          <w:color w:val="000000"/>
          <w:sz w:val="24"/>
          <w:szCs w:val="24"/>
          <w:lang w:val="en-US"/>
        </w:rPr>
        <w:t xml:space="preserve">daily at a daily dose of 0.15 mg/kg for the period up to 10 days. </w:t>
      </w:r>
    </w:p>
    <w:p w:rsidR="00BE1AB7" w:rsidRPr="00143088" w:rsidRDefault="00B304F5" w:rsidP="005E7AF0">
      <w:pPr>
        <w:pStyle w:val="110"/>
        <w:spacing w:line="360" w:lineRule="auto"/>
        <w:jc w:val="both"/>
        <w:rPr>
          <w:color w:val="000000"/>
          <w:sz w:val="24"/>
          <w:szCs w:val="24"/>
          <w:lang w:val="en-US"/>
        </w:rPr>
      </w:pPr>
      <w:r w:rsidRPr="00143088">
        <w:rPr>
          <w:color w:val="000000"/>
          <w:sz w:val="24"/>
          <w:szCs w:val="24"/>
          <w:lang w:val="en-US"/>
        </w:rPr>
        <w:t>The drug is administered in 1-3 drops in one nasal passage or under the tongue with an interval of at least 1-2 hours, in 2-3 doses per day.</w:t>
      </w:r>
    </w:p>
    <w:p w:rsidR="00BE1AB7" w:rsidRPr="00143088" w:rsidRDefault="00B304F5" w:rsidP="005E7AF0">
      <w:pPr>
        <w:pStyle w:val="110"/>
        <w:spacing w:line="360" w:lineRule="auto"/>
        <w:jc w:val="both"/>
        <w:rPr>
          <w:color w:val="000000"/>
          <w:sz w:val="24"/>
          <w:szCs w:val="24"/>
          <w:lang w:val="en-US"/>
        </w:rPr>
      </w:pPr>
      <w:r w:rsidRPr="00143088">
        <w:rPr>
          <w:color w:val="000000"/>
          <w:sz w:val="24"/>
          <w:szCs w:val="24"/>
          <w:lang w:val="en-US"/>
        </w:rPr>
        <w:t>One drop (0</w:t>
      </w:r>
      <w:r w:rsidR="003F7AE6">
        <w:rPr>
          <w:color w:val="000000"/>
          <w:sz w:val="24"/>
          <w:szCs w:val="24"/>
          <w:lang w:val="en-US"/>
        </w:rPr>
        <w:t>.</w:t>
      </w:r>
      <w:r w:rsidRPr="00143088">
        <w:rPr>
          <w:color w:val="000000"/>
          <w:sz w:val="24"/>
          <w:szCs w:val="24"/>
          <w:lang w:val="en-US"/>
        </w:rPr>
        <w:t xml:space="preserve">05 ml) of the prepared solution contains 0.15 mg of the drug. </w:t>
      </w:r>
    </w:p>
    <w:p w:rsidR="00BE1AB7" w:rsidRPr="00143088" w:rsidRDefault="00B304F5" w:rsidP="005E7AF0">
      <w:pPr>
        <w:snapToGrid w:val="0"/>
        <w:spacing w:line="360" w:lineRule="auto"/>
        <w:jc w:val="both"/>
        <w:rPr>
          <w:sz w:val="24"/>
          <w:szCs w:val="24"/>
          <w:lang w:val="en-US"/>
        </w:rPr>
      </w:pPr>
      <w:r w:rsidRPr="00143088">
        <w:rPr>
          <w:sz w:val="24"/>
          <w:szCs w:val="24"/>
          <w:lang w:val="en-US"/>
        </w:rPr>
        <w:t xml:space="preserve">Calculation of the daily dose for nasal and sublingual administration is provided in Table 1. </w:t>
      </w:r>
    </w:p>
    <w:p w:rsidR="00BE1AB7" w:rsidRPr="00143088" w:rsidRDefault="00B304F5" w:rsidP="000507FC">
      <w:pPr>
        <w:snapToGrid w:val="0"/>
        <w:spacing w:before="120" w:line="360" w:lineRule="auto"/>
        <w:jc w:val="both"/>
        <w:rPr>
          <w:sz w:val="24"/>
          <w:szCs w:val="24"/>
          <w:lang w:val="en-US"/>
        </w:rPr>
      </w:pPr>
      <w:r w:rsidRPr="00143088">
        <w:rPr>
          <w:sz w:val="24"/>
          <w:szCs w:val="24"/>
          <w:lang w:val="en-US"/>
        </w:rPr>
        <w:t xml:space="preserve">Table 1. Calculation of Polyoxidonium </w:t>
      </w:r>
      <w:r w:rsidRPr="00143088">
        <w:rPr>
          <w:sz w:val="24"/>
          <w:szCs w:val="24"/>
          <w:vertAlign w:val="superscript"/>
          <w:lang w:val="en-US"/>
        </w:rPr>
        <w:t>®</w:t>
      </w:r>
      <w:r w:rsidRPr="00143088">
        <w:rPr>
          <w:sz w:val="24"/>
          <w:szCs w:val="24"/>
          <w:lang w:val="en-US"/>
        </w:rPr>
        <w:t xml:space="preserve"> daily dose for nasal and sublingual administration in children.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558"/>
      </w:tblGrid>
      <w:tr w:rsidR="001D2AA9" w:rsidRPr="00952B4B" w:rsidTr="00715FDF">
        <w:trPr>
          <w:cantSplit/>
          <w:trHeight w:val="322"/>
        </w:trPr>
        <w:tc>
          <w:tcPr>
            <w:tcW w:w="2132" w:type="dxa"/>
          </w:tcPr>
          <w:p w:rsidR="00BE1AB7" w:rsidRPr="00143088" w:rsidRDefault="003F7AE6" w:rsidP="005E7AF0">
            <w:pPr>
              <w:snapToGrid w:val="0"/>
              <w:spacing w:line="360" w:lineRule="auto"/>
              <w:jc w:val="both"/>
              <w:rPr>
                <w:color w:val="000000"/>
                <w:sz w:val="24"/>
                <w:szCs w:val="24"/>
                <w:lang w:val="en-US"/>
              </w:rPr>
            </w:pPr>
            <w:r w:rsidRPr="00143088">
              <w:rPr>
                <w:color w:val="000000"/>
                <w:sz w:val="24"/>
                <w:szCs w:val="24"/>
                <w:lang w:val="en-US"/>
              </w:rPr>
              <w:lastRenderedPageBreak/>
              <w:t>Weight</w:t>
            </w:r>
            <w:r w:rsidR="00B304F5" w:rsidRPr="00143088">
              <w:rPr>
                <w:color w:val="000000"/>
                <w:sz w:val="24"/>
                <w:szCs w:val="24"/>
                <w:lang w:val="en-US"/>
              </w:rPr>
              <w:t xml:space="preserve"> of a child</w:t>
            </w:r>
          </w:p>
        </w:tc>
        <w:tc>
          <w:tcPr>
            <w:tcW w:w="2558"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Number</w:t>
            </w:r>
          </w:p>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of drops a day</w:t>
            </w:r>
          </w:p>
        </w:tc>
      </w:tr>
      <w:tr w:rsidR="001D2AA9" w:rsidRPr="00143088" w:rsidTr="00715FDF">
        <w:trPr>
          <w:cantSplit/>
          <w:trHeight w:val="272"/>
        </w:trPr>
        <w:tc>
          <w:tcPr>
            <w:tcW w:w="2132"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5 kg</w:t>
            </w:r>
          </w:p>
        </w:tc>
        <w:tc>
          <w:tcPr>
            <w:tcW w:w="2558"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5 drops</w:t>
            </w:r>
          </w:p>
        </w:tc>
      </w:tr>
      <w:tr w:rsidR="001D2AA9" w:rsidRPr="00143088" w:rsidTr="00715FDF">
        <w:trPr>
          <w:cantSplit/>
          <w:trHeight w:val="272"/>
        </w:trPr>
        <w:tc>
          <w:tcPr>
            <w:tcW w:w="2132"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10 kg</w:t>
            </w:r>
          </w:p>
        </w:tc>
        <w:tc>
          <w:tcPr>
            <w:tcW w:w="2558"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10 drops</w:t>
            </w:r>
          </w:p>
        </w:tc>
      </w:tr>
      <w:tr w:rsidR="001D2AA9" w:rsidRPr="00143088" w:rsidTr="00715FDF">
        <w:trPr>
          <w:cantSplit/>
          <w:trHeight w:val="272"/>
        </w:trPr>
        <w:tc>
          <w:tcPr>
            <w:tcW w:w="2132"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15 kg</w:t>
            </w:r>
          </w:p>
        </w:tc>
        <w:tc>
          <w:tcPr>
            <w:tcW w:w="2558"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15 drops</w:t>
            </w:r>
          </w:p>
        </w:tc>
      </w:tr>
      <w:tr w:rsidR="001D2AA9" w:rsidRPr="00143088" w:rsidTr="00715FDF">
        <w:trPr>
          <w:cantSplit/>
          <w:trHeight w:val="287"/>
        </w:trPr>
        <w:tc>
          <w:tcPr>
            <w:tcW w:w="2132"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20 kg</w:t>
            </w:r>
          </w:p>
        </w:tc>
        <w:tc>
          <w:tcPr>
            <w:tcW w:w="2558" w:type="dxa"/>
          </w:tcPr>
          <w:p w:rsidR="00BE1AB7" w:rsidRPr="00143088" w:rsidRDefault="00B304F5" w:rsidP="005E7AF0">
            <w:pPr>
              <w:snapToGrid w:val="0"/>
              <w:spacing w:line="360" w:lineRule="auto"/>
              <w:jc w:val="both"/>
              <w:rPr>
                <w:color w:val="000000"/>
                <w:sz w:val="24"/>
                <w:szCs w:val="24"/>
                <w:lang w:val="en-US"/>
              </w:rPr>
            </w:pPr>
            <w:r w:rsidRPr="00143088">
              <w:rPr>
                <w:color w:val="000000"/>
                <w:sz w:val="24"/>
                <w:szCs w:val="24"/>
                <w:lang w:val="en-US"/>
              </w:rPr>
              <w:t>20 drops</w:t>
            </w:r>
          </w:p>
        </w:tc>
      </w:tr>
    </w:tbl>
    <w:p w:rsidR="00BE1AB7" w:rsidRPr="00143088" w:rsidRDefault="00BE1AB7" w:rsidP="005E7AF0">
      <w:pPr>
        <w:pStyle w:val="110"/>
        <w:spacing w:line="360" w:lineRule="auto"/>
        <w:jc w:val="both"/>
        <w:rPr>
          <w:sz w:val="24"/>
          <w:szCs w:val="24"/>
          <w:lang w:val="en-US"/>
        </w:rPr>
      </w:pPr>
    </w:p>
    <w:p w:rsidR="00BE1AB7" w:rsidRPr="00143088" w:rsidRDefault="00B304F5" w:rsidP="005E7AF0">
      <w:pPr>
        <w:pStyle w:val="110"/>
        <w:spacing w:line="360" w:lineRule="auto"/>
        <w:jc w:val="both"/>
        <w:rPr>
          <w:sz w:val="24"/>
          <w:szCs w:val="24"/>
          <w:lang w:val="en-US"/>
        </w:rPr>
      </w:pPr>
      <w:r w:rsidRPr="00143088">
        <w:rPr>
          <w:sz w:val="24"/>
          <w:szCs w:val="24"/>
          <w:lang w:val="en-US"/>
        </w:rPr>
        <w:t>If a child's body weight is more than 20 kg, the daily dose is calculated at the rate of 1 drop per 1 kg of body weight, but not more than 40 drops (6 mg of the active substance).</w:t>
      </w:r>
    </w:p>
    <w:p w:rsidR="00BE1AB7" w:rsidRPr="00143088" w:rsidRDefault="00B304F5" w:rsidP="001B0A6F">
      <w:pPr>
        <w:pStyle w:val="110"/>
        <w:spacing w:line="360" w:lineRule="auto"/>
        <w:jc w:val="both"/>
        <w:rPr>
          <w:b/>
          <w:i/>
          <w:color w:val="000000"/>
          <w:sz w:val="24"/>
          <w:szCs w:val="24"/>
          <w:u w:val="single"/>
          <w:lang w:val="en-US"/>
        </w:rPr>
      </w:pPr>
      <w:r w:rsidRPr="00143088">
        <w:rPr>
          <w:i/>
          <w:color w:val="000000"/>
          <w:sz w:val="24"/>
          <w:szCs w:val="24"/>
          <w:u w:val="single"/>
          <w:lang w:val="en-US"/>
        </w:rPr>
        <w:t>The prepared solution for nasal and sublingual administration can be stored at room temperature in the manufacturer's packaging up to 48 hours.</w:t>
      </w:r>
    </w:p>
    <w:p w:rsidR="00BE1AB7" w:rsidRPr="00143088" w:rsidRDefault="00BE1AB7" w:rsidP="001B0A6F">
      <w:pPr>
        <w:spacing w:line="360" w:lineRule="auto"/>
        <w:jc w:val="both"/>
        <w:rPr>
          <w:b/>
          <w:i/>
          <w:color w:val="000000"/>
          <w:sz w:val="24"/>
          <w:szCs w:val="24"/>
          <w:lang w:val="en-US"/>
        </w:rPr>
      </w:pPr>
    </w:p>
    <w:p w:rsidR="00BE1AB7" w:rsidRPr="00143088" w:rsidRDefault="00B304F5" w:rsidP="001B0A6F">
      <w:pPr>
        <w:pStyle w:val="11"/>
        <w:spacing w:line="360" w:lineRule="auto"/>
        <w:rPr>
          <w:color w:val="000000"/>
          <w:sz w:val="24"/>
          <w:szCs w:val="24"/>
          <w:lang w:val="en-US"/>
        </w:rPr>
      </w:pPr>
      <w:r w:rsidRPr="00143088">
        <w:rPr>
          <w:color w:val="000000"/>
          <w:sz w:val="24"/>
          <w:szCs w:val="24"/>
          <w:lang w:val="en-US"/>
        </w:rPr>
        <w:t>The recommended therapeutic regimen for children:</w:t>
      </w:r>
    </w:p>
    <w:p w:rsidR="00BE1AB7" w:rsidRPr="00143088" w:rsidRDefault="00B304F5" w:rsidP="001B0A6F">
      <w:pPr>
        <w:pStyle w:val="110"/>
        <w:spacing w:line="360" w:lineRule="auto"/>
        <w:jc w:val="both"/>
        <w:rPr>
          <w:color w:val="000000"/>
          <w:sz w:val="24"/>
          <w:szCs w:val="24"/>
          <w:lang w:val="en-US"/>
        </w:rPr>
      </w:pPr>
      <w:r w:rsidRPr="00143088">
        <w:rPr>
          <w:color w:val="000000"/>
          <w:sz w:val="24"/>
          <w:szCs w:val="24"/>
          <w:lang w:val="en-US"/>
        </w:rPr>
        <w:t>Parenterally:</w:t>
      </w:r>
    </w:p>
    <w:p w:rsidR="00BE1AB7" w:rsidRPr="00143088" w:rsidRDefault="00B304F5" w:rsidP="001B0A6F">
      <w:pPr>
        <w:pStyle w:val="11"/>
        <w:spacing w:line="360" w:lineRule="auto"/>
        <w:ind w:firstLine="709"/>
        <w:jc w:val="both"/>
        <w:rPr>
          <w:color w:val="000000"/>
          <w:sz w:val="24"/>
          <w:szCs w:val="24"/>
          <w:lang w:val="en-US"/>
        </w:rPr>
      </w:pPr>
      <w:r w:rsidRPr="00143088">
        <w:rPr>
          <w:sz w:val="24"/>
          <w:szCs w:val="24"/>
          <w:u w:val="single"/>
          <w:lang w:val="en-US"/>
        </w:rPr>
        <w:t xml:space="preserve">During acute and exacerbation of chronic inflammatory diseases of any localization (including </w:t>
      </w:r>
      <w:r w:rsidRPr="00143088">
        <w:rPr>
          <w:color w:val="000000"/>
          <w:sz w:val="24"/>
          <w:szCs w:val="24"/>
          <w:lang w:val="en-US"/>
        </w:rPr>
        <w:t xml:space="preserve"> ENT organs - sinusitis, rhinitis, adenoiditis, hypertrophy of the pharyngeal tonsil, acute respiratory infection) caused by pathogens of bacterial, viral, fungal infections:</w:t>
      </w:r>
      <w:r w:rsidRPr="00143088">
        <w:rPr>
          <w:sz w:val="24"/>
          <w:szCs w:val="24"/>
          <w:lang w:val="en-US"/>
        </w:rPr>
        <w:t xml:space="preserve"> 0.1 mg/kg for 3 consecutive days, further 10 injections every other day.</w:t>
      </w:r>
    </w:p>
    <w:p w:rsidR="00BE1AB7" w:rsidRPr="00143088" w:rsidRDefault="00B304F5" w:rsidP="001B0A6F">
      <w:pPr>
        <w:pStyle w:val="11"/>
        <w:spacing w:line="360" w:lineRule="auto"/>
        <w:ind w:firstLine="709"/>
        <w:jc w:val="both"/>
        <w:rPr>
          <w:sz w:val="24"/>
          <w:szCs w:val="24"/>
          <w:lang w:val="en-US"/>
        </w:rPr>
      </w:pPr>
      <w:r w:rsidRPr="00143088">
        <w:rPr>
          <w:sz w:val="24"/>
          <w:szCs w:val="24"/>
          <w:u w:val="single"/>
          <w:lang w:val="en-US"/>
        </w:rPr>
        <w:t>During acute allergic and toxico-allergic diseases (including bronchial asthma, atopic dermatitis), complicated with bacterial, viral and fungal infections:</w:t>
      </w:r>
      <w:r w:rsidRPr="00143088">
        <w:rPr>
          <w:sz w:val="24"/>
          <w:szCs w:val="24"/>
          <w:lang w:val="en-US"/>
        </w:rPr>
        <w:t xml:space="preserve"> intravenous drop infusion at a dose of 0.1 mg/kg, 3 consecutive days, then every other day, a course of 10 injections in combination with basic therapy.</w:t>
      </w:r>
    </w:p>
    <w:p w:rsidR="00BE1AB7" w:rsidRPr="00143088" w:rsidRDefault="00B304F5" w:rsidP="000507FC">
      <w:pPr>
        <w:snapToGrid w:val="0"/>
        <w:spacing w:before="120" w:line="360" w:lineRule="auto"/>
        <w:jc w:val="both"/>
        <w:rPr>
          <w:sz w:val="24"/>
          <w:szCs w:val="24"/>
          <w:lang w:val="en-US"/>
        </w:rPr>
      </w:pPr>
      <w:r w:rsidRPr="00143088">
        <w:rPr>
          <w:color w:val="000000"/>
          <w:sz w:val="24"/>
          <w:szCs w:val="24"/>
          <w:lang w:val="en-US"/>
        </w:rPr>
        <w:t xml:space="preserve">Intranasally: daily 1-2 drops in each nasal lumen 3 times a day up to 10  days </w:t>
      </w:r>
      <w:r w:rsidRPr="00143088">
        <w:rPr>
          <w:color w:val="000000"/>
          <w:sz w:val="24"/>
          <w:szCs w:val="24"/>
          <w:lang w:val="en-US"/>
        </w:rPr>
        <w:br/>
        <w:t>(See the calculation of the daily dose for nasal and sublingual administration in Table 1):</w:t>
      </w:r>
    </w:p>
    <w:p w:rsidR="00BE1AB7" w:rsidRPr="00FD6D05" w:rsidRDefault="00B304F5" w:rsidP="001B0A6F">
      <w:pPr>
        <w:pStyle w:val="110"/>
        <w:spacing w:line="360" w:lineRule="auto"/>
        <w:ind w:firstLine="709"/>
        <w:jc w:val="both"/>
        <w:rPr>
          <w:sz w:val="24"/>
          <w:szCs w:val="24"/>
          <w:lang w:val="en-US"/>
        </w:rPr>
      </w:pPr>
      <w:r w:rsidRPr="00143088">
        <w:rPr>
          <w:sz w:val="24"/>
          <w:szCs w:val="24"/>
          <w:u w:val="single"/>
          <w:lang w:val="en-US"/>
        </w:rPr>
        <w:t>During acute and chronic rhinitis, rhinosinusitis, adenoiditis</w:t>
      </w:r>
      <w:r w:rsidRPr="00FD6D05">
        <w:rPr>
          <w:sz w:val="24"/>
          <w:szCs w:val="24"/>
          <w:lang w:val="en-US"/>
        </w:rPr>
        <w:t xml:space="preserve"> (treatment and prevention of exacerbations);</w:t>
      </w:r>
    </w:p>
    <w:p w:rsidR="00BE1AB7" w:rsidRPr="00143088" w:rsidRDefault="00B304F5" w:rsidP="001B0A6F">
      <w:pPr>
        <w:snapToGrid w:val="0"/>
        <w:spacing w:line="360" w:lineRule="auto"/>
        <w:ind w:firstLine="709"/>
        <w:jc w:val="both"/>
        <w:rPr>
          <w:color w:val="000000"/>
          <w:sz w:val="24"/>
          <w:szCs w:val="24"/>
          <w:lang w:val="en-US"/>
        </w:rPr>
      </w:pPr>
      <w:r w:rsidRPr="00FD6D05">
        <w:rPr>
          <w:color w:val="000000"/>
          <w:sz w:val="24"/>
          <w:szCs w:val="24"/>
          <w:u w:val="single"/>
          <w:lang w:val="en-US"/>
        </w:rPr>
        <w:t xml:space="preserve">For pre-operative preparation </w:t>
      </w:r>
      <w:r w:rsidRPr="00143088">
        <w:rPr>
          <w:color w:val="000000"/>
          <w:sz w:val="24"/>
          <w:szCs w:val="24"/>
          <w:lang w:val="en-US"/>
        </w:rPr>
        <w:t>of patients during ENT pathology surgical interventions, as well as in the post-operative period in order to prevent infectious complications or relapses of the disease;</w:t>
      </w:r>
    </w:p>
    <w:p w:rsidR="00BE1AB7" w:rsidRPr="00143088" w:rsidRDefault="00B304F5" w:rsidP="001B0A6F">
      <w:pPr>
        <w:spacing w:line="360" w:lineRule="auto"/>
        <w:ind w:firstLine="709"/>
        <w:jc w:val="both"/>
        <w:rPr>
          <w:color w:val="000000"/>
          <w:sz w:val="24"/>
          <w:szCs w:val="24"/>
          <w:lang w:val="en-US"/>
        </w:rPr>
      </w:pPr>
      <w:r w:rsidRPr="00FD6D05">
        <w:rPr>
          <w:color w:val="000000"/>
          <w:sz w:val="24"/>
          <w:szCs w:val="24"/>
          <w:u w:val="single"/>
          <w:lang w:val="en-US"/>
        </w:rPr>
        <w:t>Treatment and prevention of influenza and other acute respiratory viral infections</w:t>
      </w:r>
      <w:r w:rsidRPr="00143088">
        <w:rPr>
          <w:color w:val="000000"/>
          <w:sz w:val="24"/>
          <w:szCs w:val="24"/>
          <w:lang w:val="en-US"/>
        </w:rPr>
        <w:t xml:space="preserve"> (within 1 month before the alleged </w:t>
      </w:r>
      <w:r w:rsidR="00FD6D05" w:rsidRPr="00143088">
        <w:rPr>
          <w:color w:val="000000"/>
          <w:sz w:val="24"/>
          <w:szCs w:val="24"/>
          <w:lang w:val="en-US"/>
        </w:rPr>
        <w:t>epidem</w:t>
      </w:r>
      <w:r w:rsidR="00FD6D05">
        <w:rPr>
          <w:color w:val="000000"/>
          <w:sz w:val="24"/>
          <w:szCs w:val="24"/>
          <w:lang w:val="en-US"/>
        </w:rPr>
        <w:t>ic</w:t>
      </w:r>
      <w:r w:rsidRPr="00143088">
        <w:rPr>
          <w:color w:val="000000"/>
          <w:sz w:val="24"/>
          <w:szCs w:val="24"/>
          <w:lang w:val="en-US"/>
        </w:rPr>
        <w:t>), at any time after the onset of the disease and during the period of recovery);</w:t>
      </w:r>
    </w:p>
    <w:p w:rsidR="00BE1AB7" w:rsidRPr="00143088" w:rsidRDefault="00B304F5" w:rsidP="001B0A6F">
      <w:pPr>
        <w:pStyle w:val="110"/>
        <w:spacing w:line="360" w:lineRule="auto"/>
        <w:ind w:firstLine="709"/>
        <w:jc w:val="both"/>
        <w:rPr>
          <w:color w:val="000000"/>
          <w:sz w:val="24"/>
          <w:szCs w:val="24"/>
          <w:lang w:val="en-US"/>
        </w:rPr>
      </w:pPr>
      <w:r w:rsidRPr="00143088">
        <w:rPr>
          <w:color w:val="000000"/>
          <w:sz w:val="24"/>
          <w:szCs w:val="24"/>
          <w:lang w:val="en-US"/>
        </w:rPr>
        <w:t>Sublingually, for children of early, preschool and primary school age: daily at a daily dose of 0.15 mg/kg in 2 doses for 10 days:</w:t>
      </w:r>
    </w:p>
    <w:p w:rsidR="00BE1AB7" w:rsidRPr="00143088" w:rsidRDefault="00B304F5" w:rsidP="001B0A6F">
      <w:pPr>
        <w:pStyle w:val="110"/>
        <w:spacing w:line="360" w:lineRule="auto"/>
        <w:ind w:firstLine="709"/>
        <w:jc w:val="both"/>
        <w:rPr>
          <w:color w:val="000000"/>
          <w:sz w:val="24"/>
          <w:szCs w:val="24"/>
          <w:lang w:val="en-US"/>
        </w:rPr>
      </w:pPr>
      <w:r w:rsidRPr="00FD6D05">
        <w:rPr>
          <w:color w:val="000000"/>
          <w:sz w:val="24"/>
          <w:szCs w:val="24"/>
          <w:u w:val="single"/>
          <w:lang w:val="en-US"/>
        </w:rPr>
        <w:t>During adenoiditis, tonsil hypertrophy</w:t>
      </w:r>
      <w:r w:rsidRPr="00143088">
        <w:rPr>
          <w:color w:val="000000"/>
          <w:sz w:val="24"/>
          <w:szCs w:val="24"/>
          <w:lang w:val="en-US"/>
        </w:rPr>
        <w:t xml:space="preserve">: (as a component of conservative treatment); </w:t>
      </w:r>
    </w:p>
    <w:p w:rsidR="00BE1AB7" w:rsidRPr="00143088" w:rsidRDefault="00B304F5" w:rsidP="001B0A6F">
      <w:pPr>
        <w:pStyle w:val="110"/>
        <w:spacing w:line="360" w:lineRule="auto"/>
        <w:ind w:firstLine="709"/>
        <w:jc w:val="both"/>
        <w:rPr>
          <w:color w:val="000000"/>
          <w:sz w:val="24"/>
          <w:szCs w:val="24"/>
          <w:lang w:val="en-US"/>
        </w:rPr>
      </w:pPr>
      <w:r w:rsidRPr="00FD6D05">
        <w:rPr>
          <w:color w:val="000000"/>
          <w:sz w:val="24"/>
          <w:szCs w:val="24"/>
          <w:u w:val="single"/>
          <w:lang w:val="en-US"/>
        </w:rPr>
        <w:lastRenderedPageBreak/>
        <w:t xml:space="preserve">For pre-surgery </w:t>
      </w:r>
      <w:r w:rsidRPr="00143088">
        <w:rPr>
          <w:color w:val="000000"/>
          <w:sz w:val="24"/>
          <w:szCs w:val="24"/>
          <w:lang w:val="en-US"/>
        </w:rPr>
        <w:t xml:space="preserve">preparation and post-surgery rehabilitation ; </w:t>
      </w:r>
    </w:p>
    <w:p w:rsidR="00BE1AB7" w:rsidRPr="00143088" w:rsidRDefault="00B304F5" w:rsidP="001B0A6F">
      <w:pPr>
        <w:pStyle w:val="110"/>
        <w:spacing w:line="360" w:lineRule="auto"/>
        <w:ind w:firstLine="709"/>
        <w:jc w:val="both"/>
        <w:rPr>
          <w:color w:val="000000"/>
          <w:sz w:val="24"/>
          <w:szCs w:val="24"/>
          <w:lang w:val="en-US"/>
        </w:rPr>
      </w:pPr>
      <w:r w:rsidRPr="00FD6D05">
        <w:rPr>
          <w:color w:val="000000"/>
          <w:sz w:val="24"/>
          <w:szCs w:val="24"/>
          <w:u w:val="single"/>
          <w:lang w:val="en-US"/>
        </w:rPr>
        <w:t>For seasonal prevention of exacerbations</w:t>
      </w:r>
      <w:r w:rsidRPr="00143088">
        <w:rPr>
          <w:color w:val="000000"/>
          <w:sz w:val="24"/>
          <w:szCs w:val="24"/>
          <w:lang w:val="en-US"/>
        </w:rPr>
        <w:t xml:space="preserve"> of chronic infections of the oropharynx, upper respiratory tract, inner and middle ear;  </w:t>
      </w:r>
    </w:p>
    <w:p w:rsidR="00BE1AB7" w:rsidRPr="00143088" w:rsidRDefault="00B304F5" w:rsidP="005E7AF0">
      <w:pPr>
        <w:spacing w:line="360" w:lineRule="auto"/>
        <w:jc w:val="both"/>
        <w:rPr>
          <w:color w:val="000000"/>
          <w:sz w:val="24"/>
          <w:szCs w:val="24"/>
          <w:lang w:val="en-US"/>
        </w:rPr>
      </w:pPr>
      <w:r w:rsidRPr="00FD6D05">
        <w:rPr>
          <w:color w:val="000000"/>
          <w:sz w:val="24"/>
          <w:szCs w:val="24"/>
          <w:u w:val="single"/>
          <w:lang w:val="en-US"/>
        </w:rPr>
        <w:t>For the treatment of intestinal dysbiosis</w:t>
      </w:r>
      <w:r w:rsidRPr="00143088">
        <w:rPr>
          <w:color w:val="000000"/>
          <w:sz w:val="24"/>
          <w:szCs w:val="24"/>
          <w:lang w:val="en-US"/>
        </w:rPr>
        <w:t xml:space="preserve"> (in combination with basic therapy) for 10 days.</w:t>
      </w:r>
      <w:r w:rsidRPr="00143088">
        <w:rPr>
          <w:color w:val="000000"/>
          <w:sz w:val="24"/>
          <w:szCs w:val="24"/>
          <w:lang w:val="en-US"/>
        </w:rPr>
        <w:br/>
      </w:r>
    </w:p>
    <w:p w:rsidR="00AD13D0" w:rsidRPr="00143088" w:rsidRDefault="00B304F5" w:rsidP="00AD13D0">
      <w:pPr>
        <w:tabs>
          <w:tab w:val="left" w:pos="35"/>
        </w:tabs>
        <w:spacing w:line="360" w:lineRule="auto"/>
        <w:rPr>
          <w:rFonts w:eastAsia="Calibri"/>
          <w:b/>
          <w:snapToGrid w:val="0"/>
          <w:sz w:val="24"/>
          <w:szCs w:val="24"/>
          <w:lang w:val="en-US"/>
        </w:rPr>
      </w:pPr>
      <w:r w:rsidRPr="00143088">
        <w:rPr>
          <w:rFonts w:eastAsia="Calibri"/>
          <w:b/>
          <w:snapToGrid w:val="0"/>
          <w:sz w:val="24"/>
          <w:szCs w:val="24"/>
          <w:lang w:val="en-US"/>
        </w:rPr>
        <w:t xml:space="preserve">Adverse effects </w:t>
      </w:r>
    </w:p>
    <w:p w:rsidR="00AD13D0" w:rsidRPr="00143088" w:rsidRDefault="00B304F5" w:rsidP="00AD13D0">
      <w:pPr>
        <w:spacing w:line="360" w:lineRule="auto"/>
        <w:ind w:right="106"/>
        <w:jc w:val="both"/>
        <w:rPr>
          <w:sz w:val="24"/>
          <w:szCs w:val="24"/>
          <w:lang w:val="en-US"/>
        </w:rPr>
      </w:pPr>
      <w:r w:rsidRPr="00143088">
        <w:rPr>
          <w:sz w:val="24"/>
          <w:szCs w:val="24"/>
          <w:lang w:val="en-US"/>
        </w:rPr>
        <w:t xml:space="preserve">While using Polyoxidonium </w:t>
      </w:r>
      <w:r w:rsidRPr="00143088">
        <w:rPr>
          <w:color w:val="000000"/>
          <w:sz w:val="24"/>
          <w:szCs w:val="24"/>
          <w:vertAlign w:val="superscript"/>
          <w:lang w:val="en-US"/>
        </w:rPr>
        <w:t>®</w:t>
      </w:r>
      <w:r w:rsidRPr="00143088">
        <w:rPr>
          <w:sz w:val="24"/>
          <w:szCs w:val="24"/>
          <w:lang w:val="en-US"/>
        </w:rPr>
        <w:t xml:space="preserve">, the following general and local reactions were observed: </w:t>
      </w:r>
    </w:p>
    <w:p w:rsidR="00AD13D0" w:rsidRPr="00143088" w:rsidRDefault="00B304F5" w:rsidP="00AD13D0">
      <w:pPr>
        <w:spacing w:line="360" w:lineRule="auto"/>
        <w:ind w:right="106"/>
        <w:jc w:val="both"/>
        <w:rPr>
          <w:sz w:val="24"/>
          <w:szCs w:val="24"/>
          <w:lang w:val="en-US"/>
        </w:rPr>
      </w:pPr>
      <w:r w:rsidRPr="00FD6D05">
        <w:rPr>
          <w:sz w:val="24"/>
          <w:szCs w:val="24"/>
          <w:u w:val="single"/>
          <w:lang w:val="en-US"/>
        </w:rPr>
        <w:t>During parenteral administration</w:t>
      </w:r>
      <w:r w:rsidRPr="00143088">
        <w:rPr>
          <w:sz w:val="24"/>
          <w:szCs w:val="24"/>
          <w:lang w:val="en-US"/>
        </w:rPr>
        <w:t>: Rare (</w:t>
      </w:r>
      <w:r w:rsidRPr="00143088">
        <w:rPr>
          <w:rFonts w:ascii="Symbol" w:hAnsi="Symbol"/>
          <w:sz w:val="24"/>
          <w:szCs w:val="24"/>
          <w:lang w:val="en-US"/>
        </w:rPr>
        <w:sym w:font="Symbol" w:char="F0B3"/>
      </w:r>
      <w:r w:rsidRPr="00143088">
        <w:rPr>
          <w:sz w:val="24"/>
          <w:szCs w:val="24"/>
          <w:lang w:val="en-US"/>
        </w:rPr>
        <w:t>1/1 000 to &lt;1/100): at the site of administration - tenderness, redness and thickening of the skin.</w:t>
      </w:r>
    </w:p>
    <w:p w:rsidR="00BE1AB7" w:rsidRPr="00143088" w:rsidRDefault="00B304F5" w:rsidP="00AD13D0">
      <w:pPr>
        <w:spacing w:line="360" w:lineRule="auto"/>
        <w:ind w:right="106"/>
        <w:jc w:val="both"/>
        <w:rPr>
          <w:sz w:val="24"/>
          <w:szCs w:val="24"/>
          <w:lang w:val="en-US"/>
        </w:rPr>
      </w:pPr>
      <w:r w:rsidRPr="00143088">
        <w:rPr>
          <w:sz w:val="24"/>
          <w:szCs w:val="24"/>
          <w:u w:val="single"/>
          <w:lang w:val="en-US"/>
        </w:rPr>
        <w:t>During parenteral administration and topical application.</w:t>
      </w:r>
      <w:r w:rsidR="00FD6D05">
        <w:rPr>
          <w:sz w:val="24"/>
          <w:szCs w:val="24"/>
          <w:lang w:val="en-US"/>
        </w:rPr>
        <w:t xml:space="preserve"> Very rare</w:t>
      </w:r>
      <w:r w:rsidRPr="00143088">
        <w:rPr>
          <w:sz w:val="24"/>
          <w:szCs w:val="24"/>
          <w:lang w:val="en-US"/>
        </w:rPr>
        <w:t xml:space="preserve"> (</w:t>
      </w:r>
      <w:r w:rsidR="00FD6D05" w:rsidRPr="00FD6D05">
        <w:rPr>
          <w:sz w:val="24"/>
          <w:szCs w:val="24"/>
        </w:rPr>
        <w:sym w:font="Symbol" w:char="F0B3"/>
      </w:r>
      <w:r w:rsidRPr="00143088">
        <w:rPr>
          <w:sz w:val="24"/>
          <w:szCs w:val="24"/>
          <w:lang w:val="en-US"/>
        </w:rPr>
        <w:t>1/10000)</w:t>
      </w:r>
      <w:r w:rsidR="00FD6D05">
        <w:rPr>
          <w:sz w:val="24"/>
          <w:szCs w:val="24"/>
          <w:lang w:val="en-US"/>
        </w:rPr>
        <w:t>:</w:t>
      </w:r>
      <w:r w:rsidRPr="00143088">
        <w:rPr>
          <w:sz w:val="24"/>
          <w:szCs w:val="24"/>
          <w:lang w:val="en-US"/>
        </w:rPr>
        <w:t xml:space="preserve"> increased body temperature, slight anxiety, chills, hypersensitivity to the components of the drug (allergic reactions).</w:t>
      </w:r>
    </w:p>
    <w:p w:rsidR="00BE1AB7" w:rsidRPr="00143088" w:rsidRDefault="00BE1AB7" w:rsidP="005E7AF0">
      <w:pPr>
        <w:spacing w:line="360" w:lineRule="auto"/>
        <w:ind w:right="106"/>
        <w:jc w:val="both"/>
        <w:rPr>
          <w:sz w:val="24"/>
          <w:szCs w:val="24"/>
          <w:lang w:val="en-US"/>
        </w:rPr>
      </w:pPr>
    </w:p>
    <w:p w:rsidR="00BE1AB7" w:rsidRPr="00143088" w:rsidRDefault="00B304F5" w:rsidP="000507FC">
      <w:pPr>
        <w:spacing w:before="120" w:line="360" w:lineRule="auto"/>
        <w:rPr>
          <w:b/>
          <w:sz w:val="24"/>
          <w:szCs w:val="24"/>
          <w:lang w:val="en-US"/>
        </w:rPr>
      </w:pPr>
      <w:r w:rsidRPr="00143088">
        <w:rPr>
          <w:b/>
          <w:sz w:val="24"/>
          <w:szCs w:val="24"/>
          <w:lang w:val="en-US"/>
        </w:rPr>
        <w:t>Overdosage</w:t>
      </w:r>
    </w:p>
    <w:p w:rsidR="00A02622" w:rsidRPr="00143088" w:rsidRDefault="00B304F5" w:rsidP="000507FC">
      <w:pPr>
        <w:spacing w:before="120" w:line="360" w:lineRule="auto"/>
        <w:ind w:right="136"/>
        <w:jc w:val="both"/>
        <w:rPr>
          <w:sz w:val="24"/>
          <w:szCs w:val="24"/>
          <w:lang w:val="en-US"/>
        </w:rPr>
      </w:pPr>
      <w:r w:rsidRPr="00143088">
        <w:rPr>
          <w:sz w:val="24"/>
          <w:szCs w:val="24"/>
          <w:lang w:val="en-US"/>
        </w:rPr>
        <w:t>No case of overdoses registered. In case of unintentional intake of a dosage exceeding the recommended, you should consult a doctor.</w:t>
      </w:r>
    </w:p>
    <w:p w:rsidR="00BE1AB7" w:rsidRPr="00143088" w:rsidRDefault="00B304F5" w:rsidP="000507FC">
      <w:pPr>
        <w:spacing w:before="120" w:line="360" w:lineRule="auto"/>
        <w:ind w:right="136"/>
        <w:jc w:val="both"/>
        <w:rPr>
          <w:b/>
          <w:sz w:val="24"/>
          <w:szCs w:val="24"/>
          <w:lang w:val="en-US"/>
        </w:rPr>
      </w:pPr>
      <w:r w:rsidRPr="00143088">
        <w:rPr>
          <w:b/>
          <w:sz w:val="24"/>
          <w:szCs w:val="24"/>
          <w:lang w:val="en-US"/>
        </w:rPr>
        <w:t xml:space="preserve">Interactions </w:t>
      </w:r>
    </w:p>
    <w:p w:rsidR="00BE1AB7" w:rsidRPr="00143088" w:rsidRDefault="00B304F5" w:rsidP="005E7AF0">
      <w:pPr>
        <w:pStyle w:val="11"/>
        <w:spacing w:line="360" w:lineRule="auto"/>
        <w:ind w:right="-77"/>
        <w:jc w:val="both"/>
        <w:rPr>
          <w:sz w:val="24"/>
          <w:szCs w:val="24"/>
          <w:lang w:val="en-US"/>
        </w:rPr>
      </w:pPr>
      <w:r w:rsidRPr="00143088">
        <w:rPr>
          <w:sz w:val="24"/>
          <w:szCs w:val="24"/>
          <w:lang w:val="en-US"/>
        </w:rPr>
        <w:t xml:space="preserve">Azoximer bromide does not inhibit the isoenzymes CYP1A2, CYP2C9, CYP2C19, CYP2D6 of cytochrome P-450 and is compatible with many drugs, including antibiotics, antiviral, antifungal agents and antihistamines, glucocorticosteroids and cytostatics. </w:t>
      </w:r>
    </w:p>
    <w:p w:rsidR="00BE1AB7" w:rsidRPr="00143088" w:rsidRDefault="00B304F5" w:rsidP="000507FC">
      <w:pPr>
        <w:tabs>
          <w:tab w:val="num" w:pos="540"/>
          <w:tab w:val="left" w:pos="9540"/>
        </w:tabs>
        <w:spacing w:before="120" w:line="360" w:lineRule="auto"/>
        <w:jc w:val="both"/>
        <w:rPr>
          <w:b/>
          <w:color w:val="000000"/>
          <w:sz w:val="24"/>
          <w:szCs w:val="24"/>
          <w:lang w:val="en-US"/>
        </w:rPr>
      </w:pPr>
      <w:r w:rsidRPr="00143088">
        <w:rPr>
          <w:b/>
          <w:color w:val="000000"/>
          <w:sz w:val="24"/>
          <w:szCs w:val="24"/>
          <w:lang w:val="en-US"/>
        </w:rPr>
        <w:t xml:space="preserve">Special precautions </w:t>
      </w:r>
    </w:p>
    <w:p w:rsidR="00A02622" w:rsidRPr="00143088" w:rsidRDefault="00B304F5" w:rsidP="00A02622">
      <w:pPr>
        <w:snapToGrid w:val="0"/>
        <w:spacing w:before="120" w:line="360" w:lineRule="auto"/>
        <w:jc w:val="both"/>
        <w:rPr>
          <w:color w:val="000000"/>
          <w:sz w:val="24"/>
          <w:szCs w:val="24"/>
          <w:lang w:val="en-US"/>
        </w:rPr>
      </w:pPr>
      <w:r w:rsidRPr="00143088">
        <w:rPr>
          <w:color w:val="000000"/>
          <w:sz w:val="24"/>
          <w:szCs w:val="24"/>
          <w:lang w:val="en-US"/>
        </w:rPr>
        <w:t xml:space="preserve">Please, discontinue drug intake in case of hypersensitivity reaction and apply to your doctor. </w:t>
      </w:r>
    </w:p>
    <w:p w:rsidR="00A02622" w:rsidRPr="00143088" w:rsidRDefault="00B304F5" w:rsidP="00A02622">
      <w:pPr>
        <w:snapToGrid w:val="0"/>
        <w:spacing w:before="120" w:line="360" w:lineRule="auto"/>
        <w:jc w:val="both"/>
        <w:rPr>
          <w:color w:val="000000"/>
          <w:sz w:val="24"/>
          <w:szCs w:val="24"/>
          <w:lang w:val="en-US"/>
        </w:rPr>
      </w:pPr>
      <w:r w:rsidRPr="00143088">
        <w:rPr>
          <w:color w:val="000000"/>
          <w:sz w:val="24"/>
          <w:szCs w:val="24"/>
          <w:lang w:val="en-US"/>
        </w:rPr>
        <w:t>If you need to stop taking Polyoxidonium</w:t>
      </w:r>
      <w:r w:rsidRPr="00143088">
        <w:rPr>
          <w:color w:val="000000"/>
          <w:sz w:val="24"/>
          <w:szCs w:val="24"/>
          <w:vertAlign w:val="superscript"/>
          <w:lang w:val="en-US"/>
        </w:rPr>
        <w:t>®</w:t>
      </w:r>
      <w:r w:rsidRPr="00143088">
        <w:rPr>
          <w:color w:val="000000"/>
          <w:sz w:val="24"/>
          <w:szCs w:val="24"/>
          <w:lang w:val="en-US"/>
        </w:rPr>
        <w:t>, the discontinuation can be done immediately, without a gradual dose reduction.</w:t>
      </w:r>
    </w:p>
    <w:p w:rsidR="00A02622" w:rsidRPr="00143088" w:rsidRDefault="00B304F5" w:rsidP="00A02622">
      <w:pPr>
        <w:snapToGrid w:val="0"/>
        <w:spacing w:before="120" w:line="360" w:lineRule="auto"/>
        <w:jc w:val="both"/>
        <w:rPr>
          <w:color w:val="000000"/>
          <w:sz w:val="24"/>
          <w:szCs w:val="24"/>
          <w:lang w:val="en-US"/>
        </w:rPr>
      </w:pPr>
      <w:r w:rsidRPr="00143088">
        <w:rPr>
          <w:color w:val="000000"/>
          <w:sz w:val="24"/>
          <w:szCs w:val="24"/>
          <w:lang w:val="en-US"/>
        </w:rPr>
        <w:t xml:space="preserve">If you miss successive dose of the drug, its subsequent use should be carried out as usual, as indicated in this </w:t>
      </w:r>
      <w:r w:rsidR="00FD6D05">
        <w:rPr>
          <w:color w:val="000000"/>
          <w:sz w:val="24"/>
          <w:szCs w:val="24"/>
          <w:lang w:val="en-US"/>
        </w:rPr>
        <w:t>leaflet</w:t>
      </w:r>
      <w:r w:rsidRPr="00143088">
        <w:rPr>
          <w:color w:val="000000"/>
          <w:sz w:val="24"/>
          <w:szCs w:val="24"/>
          <w:lang w:val="en-US"/>
        </w:rPr>
        <w:t xml:space="preserve"> or recommended by a doctor. The patient should not administer a double dose in order to compensate the missed doses.</w:t>
      </w:r>
    </w:p>
    <w:p w:rsidR="00A02622" w:rsidRPr="00143088" w:rsidRDefault="00B304F5" w:rsidP="00A02622">
      <w:pPr>
        <w:snapToGrid w:val="0"/>
        <w:spacing w:before="120" w:line="360" w:lineRule="auto"/>
        <w:jc w:val="both"/>
        <w:rPr>
          <w:color w:val="000000"/>
          <w:sz w:val="24"/>
          <w:szCs w:val="24"/>
          <w:lang w:val="en-US"/>
        </w:rPr>
      </w:pPr>
      <w:r w:rsidRPr="00143088">
        <w:rPr>
          <w:color w:val="000000"/>
          <w:sz w:val="24"/>
          <w:szCs w:val="24"/>
          <w:lang w:val="en-US"/>
        </w:rPr>
        <w:t xml:space="preserve">Do not use the drug in the presence of visual signs of its unsuitability (packaging defect, discoloration of the powder). </w:t>
      </w:r>
    </w:p>
    <w:p w:rsidR="006F3245" w:rsidRPr="00143088" w:rsidRDefault="00B304F5" w:rsidP="00A02622">
      <w:pPr>
        <w:snapToGrid w:val="0"/>
        <w:spacing w:before="120" w:line="360" w:lineRule="auto"/>
        <w:jc w:val="both"/>
        <w:rPr>
          <w:color w:val="000000"/>
          <w:sz w:val="24"/>
          <w:szCs w:val="24"/>
          <w:lang w:val="en-US"/>
        </w:rPr>
      </w:pPr>
      <w:r w:rsidRPr="00143088">
        <w:rPr>
          <w:color w:val="000000"/>
          <w:sz w:val="24"/>
          <w:szCs w:val="24"/>
          <w:lang w:val="en-US"/>
        </w:rPr>
        <w:t xml:space="preserve">In tenderness at site of injection dissolve the </w:t>
      </w:r>
      <w:r w:rsidR="00FD6D05">
        <w:rPr>
          <w:color w:val="000000"/>
          <w:sz w:val="24"/>
          <w:szCs w:val="24"/>
          <w:lang w:val="en-US"/>
        </w:rPr>
        <w:t>product</w:t>
      </w:r>
      <w:r w:rsidRPr="00143088">
        <w:rPr>
          <w:color w:val="000000"/>
          <w:sz w:val="24"/>
          <w:szCs w:val="24"/>
          <w:lang w:val="en-US"/>
        </w:rPr>
        <w:t xml:space="preserve"> in 1 ml of 0.5% of procain (novocaine) solution in the absence of hypersensitivity for procain (novocaine) in patient. During intravenous (drop) infusion do not dissolve in protein-bearing infusion solutions.</w:t>
      </w:r>
    </w:p>
    <w:p w:rsidR="00BE1AB7" w:rsidRPr="00143088" w:rsidRDefault="00B304F5" w:rsidP="00A02622">
      <w:pPr>
        <w:snapToGrid w:val="0"/>
        <w:spacing w:before="120" w:line="360" w:lineRule="auto"/>
        <w:jc w:val="both"/>
        <w:rPr>
          <w:b/>
          <w:color w:val="000000"/>
          <w:sz w:val="24"/>
          <w:szCs w:val="24"/>
          <w:lang w:val="en-US"/>
        </w:rPr>
      </w:pPr>
      <w:r w:rsidRPr="00143088">
        <w:rPr>
          <w:b/>
          <w:color w:val="000000"/>
          <w:sz w:val="24"/>
          <w:szCs w:val="24"/>
          <w:lang w:val="en-US"/>
        </w:rPr>
        <w:lastRenderedPageBreak/>
        <w:t xml:space="preserve">Effect on ability to drive and use machines </w:t>
      </w:r>
    </w:p>
    <w:p w:rsidR="00BE1AB7" w:rsidRPr="00143088" w:rsidRDefault="00B304F5" w:rsidP="000507FC">
      <w:pPr>
        <w:snapToGrid w:val="0"/>
        <w:spacing w:line="360" w:lineRule="auto"/>
        <w:jc w:val="both"/>
        <w:rPr>
          <w:color w:val="000000"/>
          <w:sz w:val="24"/>
          <w:szCs w:val="24"/>
          <w:lang w:val="en-US"/>
        </w:rPr>
      </w:pPr>
      <w:r w:rsidRPr="00143088">
        <w:rPr>
          <w:color w:val="000000"/>
          <w:sz w:val="24"/>
          <w:szCs w:val="24"/>
          <w:lang w:val="en-US"/>
        </w:rPr>
        <w:t>The use of Polyoxidonium</w:t>
      </w:r>
      <w:r w:rsidRPr="00143088">
        <w:rPr>
          <w:color w:val="000000"/>
          <w:sz w:val="24"/>
          <w:szCs w:val="24"/>
          <w:vertAlign w:val="superscript"/>
          <w:lang w:val="en-US"/>
        </w:rPr>
        <w:t>®</w:t>
      </w:r>
      <w:r w:rsidR="00FD6D05">
        <w:rPr>
          <w:color w:val="000000"/>
          <w:sz w:val="24"/>
          <w:szCs w:val="24"/>
          <w:vertAlign w:val="superscript"/>
          <w:lang w:val="en-US"/>
        </w:rPr>
        <w:t xml:space="preserve"> </w:t>
      </w:r>
      <w:r w:rsidRPr="00143088">
        <w:rPr>
          <w:color w:val="000000"/>
          <w:sz w:val="24"/>
          <w:szCs w:val="24"/>
          <w:lang w:val="en-US"/>
        </w:rPr>
        <w:t xml:space="preserve">does not affect the ability to perform potentially hazardous activities, that require an increased concentration of attention and speed of psychomotor reactions (including driving vehicles, working with moving mechanisms). </w:t>
      </w:r>
    </w:p>
    <w:p w:rsidR="00BE1AB7" w:rsidRPr="00143088" w:rsidRDefault="00B304F5" w:rsidP="000507FC">
      <w:pPr>
        <w:pStyle w:val="11"/>
        <w:spacing w:before="120" w:line="360" w:lineRule="auto"/>
        <w:jc w:val="both"/>
        <w:rPr>
          <w:b/>
          <w:color w:val="000000"/>
          <w:sz w:val="24"/>
          <w:szCs w:val="24"/>
          <w:lang w:val="en-US"/>
        </w:rPr>
      </w:pPr>
      <w:r w:rsidRPr="00143088">
        <w:rPr>
          <w:b/>
          <w:color w:val="000000"/>
          <w:sz w:val="24"/>
          <w:szCs w:val="24"/>
          <w:lang w:val="en-US"/>
        </w:rPr>
        <w:t xml:space="preserve">Presentation  </w:t>
      </w:r>
    </w:p>
    <w:p w:rsidR="00BE1AB7" w:rsidRPr="00143088" w:rsidRDefault="00B304F5" w:rsidP="00C632D2">
      <w:pPr>
        <w:widowControl w:val="0"/>
        <w:spacing w:line="360" w:lineRule="auto"/>
        <w:jc w:val="both"/>
        <w:rPr>
          <w:b/>
          <w:color w:val="000000"/>
          <w:sz w:val="24"/>
          <w:szCs w:val="24"/>
          <w:lang w:val="en-US"/>
        </w:rPr>
      </w:pPr>
      <w:r w:rsidRPr="00143088">
        <w:rPr>
          <w:color w:val="000000"/>
          <w:sz w:val="24"/>
          <w:szCs w:val="24"/>
          <w:lang w:val="en-US"/>
        </w:rPr>
        <w:t>Lyophilizate for solution for injections and topical application, 3 mg, 6 mg.</w:t>
      </w:r>
    </w:p>
    <w:p w:rsidR="00BE1AB7" w:rsidRPr="00143088" w:rsidRDefault="00B304F5" w:rsidP="00C632D2">
      <w:pPr>
        <w:widowControl w:val="0"/>
        <w:spacing w:line="360" w:lineRule="auto"/>
        <w:jc w:val="both"/>
        <w:rPr>
          <w:sz w:val="24"/>
          <w:szCs w:val="24"/>
          <w:lang w:val="en-US"/>
        </w:rPr>
      </w:pPr>
      <w:r w:rsidRPr="00143088">
        <w:rPr>
          <w:sz w:val="24"/>
          <w:szCs w:val="24"/>
          <w:lang w:val="en-US"/>
        </w:rPr>
        <w:t xml:space="preserve">4.5 mg of the drug (for 3 mg dosage) or 9 mg of the drug (for 6 mg dosage) in glass vials of 1 hydrolytic class, hermetically sealed with rubber stoppers and crimped with aluminum caps. </w:t>
      </w:r>
    </w:p>
    <w:p w:rsidR="00BE1AB7" w:rsidRPr="00143088" w:rsidRDefault="00B304F5">
      <w:pPr>
        <w:widowControl w:val="0"/>
        <w:overflowPunct w:val="0"/>
        <w:autoSpaceDE w:val="0"/>
        <w:autoSpaceDN w:val="0"/>
        <w:adjustRightInd w:val="0"/>
        <w:spacing w:line="360" w:lineRule="auto"/>
        <w:jc w:val="both"/>
        <w:textAlignment w:val="baseline"/>
        <w:rPr>
          <w:sz w:val="24"/>
          <w:szCs w:val="24"/>
          <w:lang w:val="en-US"/>
        </w:rPr>
      </w:pPr>
      <w:r w:rsidRPr="00143088">
        <w:rPr>
          <w:sz w:val="24"/>
          <w:szCs w:val="24"/>
          <w:lang w:val="en-US"/>
        </w:rPr>
        <w:t xml:space="preserve">5 vials with the drug in PVC blister strip packaging. One blister pack together with </w:t>
      </w:r>
      <w:r w:rsidR="00FD6D05">
        <w:rPr>
          <w:sz w:val="24"/>
          <w:szCs w:val="24"/>
          <w:lang w:val="en-US"/>
        </w:rPr>
        <w:t>patient</w:t>
      </w:r>
      <w:r w:rsidRPr="00143088">
        <w:rPr>
          <w:sz w:val="24"/>
          <w:szCs w:val="24"/>
          <w:lang w:val="en-US"/>
        </w:rPr>
        <w:t xml:space="preserve"> information leaflet into </w:t>
      </w:r>
      <w:r w:rsidR="00FD6D05">
        <w:rPr>
          <w:sz w:val="24"/>
          <w:szCs w:val="24"/>
          <w:lang w:val="en-US"/>
        </w:rPr>
        <w:t xml:space="preserve">a </w:t>
      </w:r>
      <w:r w:rsidRPr="00143088">
        <w:rPr>
          <w:sz w:val="24"/>
          <w:szCs w:val="24"/>
          <w:lang w:val="en-US"/>
        </w:rPr>
        <w:t xml:space="preserve">carton pack or 5 vials together with </w:t>
      </w:r>
      <w:r w:rsidR="00FD6D05">
        <w:rPr>
          <w:sz w:val="24"/>
          <w:szCs w:val="24"/>
          <w:lang w:val="en-US"/>
        </w:rPr>
        <w:t>patient</w:t>
      </w:r>
      <w:r w:rsidR="00FD6D05" w:rsidRPr="00143088">
        <w:rPr>
          <w:sz w:val="24"/>
          <w:szCs w:val="24"/>
          <w:lang w:val="en-US"/>
        </w:rPr>
        <w:t xml:space="preserve"> </w:t>
      </w:r>
      <w:r w:rsidRPr="00143088">
        <w:rPr>
          <w:sz w:val="24"/>
          <w:szCs w:val="24"/>
          <w:lang w:val="en-US"/>
        </w:rPr>
        <w:t xml:space="preserve">information leaflet into </w:t>
      </w:r>
      <w:r w:rsidR="00A60ED2">
        <w:rPr>
          <w:sz w:val="24"/>
          <w:szCs w:val="24"/>
          <w:lang w:val="en-US"/>
        </w:rPr>
        <w:t xml:space="preserve">a </w:t>
      </w:r>
      <w:r w:rsidRPr="00143088">
        <w:rPr>
          <w:sz w:val="24"/>
          <w:szCs w:val="24"/>
          <w:lang w:val="en-US"/>
        </w:rPr>
        <w:t xml:space="preserve">carton pack with a cardboard insert. </w:t>
      </w:r>
    </w:p>
    <w:p w:rsidR="00BE1AB7" w:rsidRPr="00143088" w:rsidRDefault="00B304F5">
      <w:pPr>
        <w:spacing w:line="360" w:lineRule="auto"/>
        <w:jc w:val="both"/>
        <w:rPr>
          <w:snapToGrid w:val="0"/>
          <w:sz w:val="24"/>
          <w:szCs w:val="24"/>
          <w:lang w:val="en-US"/>
        </w:rPr>
      </w:pPr>
      <w:r w:rsidRPr="00143088">
        <w:rPr>
          <w:snapToGrid w:val="0"/>
          <w:sz w:val="24"/>
          <w:szCs w:val="24"/>
          <w:lang w:val="en-US"/>
        </w:rPr>
        <w:t xml:space="preserve">50 vials (for hospitals) together with 50 </w:t>
      </w:r>
      <w:r w:rsidR="00A60ED2">
        <w:rPr>
          <w:sz w:val="24"/>
          <w:szCs w:val="24"/>
          <w:lang w:val="en-US"/>
        </w:rPr>
        <w:t>patient</w:t>
      </w:r>
      <w:r w:rsidR="00A60ED2" w:rsidRPr="00143088">
        <w:rPr>
          <w:sz w:val="24"/>
          <w:szCs w:val="24"/>
          <w:lang w:val="en-US"/>
        </w:rPr>
        <w:t xml:space="preserve"> </w:t>
      </w:r>
      <w:r w:rsidR="00A60ED2">
        <w:rPr>
          <w:sz w:val="24"/>
          <w:szCs w:val="24"/>
          <w:lang w:val="en-US"/>
        </w:rPr>
        <w:t>information leaflets</w:t>
      </w:r>
      <w:r w:rsidRPr="00143088">
        <w:rPr>
          <w:snapToGrid w:val="0"/>
          <w:sz w:val="24"/>
          <w:szCs w:val="24"/>
          <w:lang w:val="en-US"/>
        </w:rPr>
        <w:t xml:space="preserve"> are placed in a box with cardboard partitions.</w:t>
      </w:r>
    </w:p>
    <w:p w:rsidR="00BE1AB7" w:rsidRPr="00143088" w:rsidRDefault="00B304F5" w:rsidP="000507FC">
      <w:pPr>
        <w:pStyle w:val="11"/>
        <w:spacing w:before="120" w:line="360" w:lineRule="auto"/>
        <w:jc w:val="both"/>
        <w:rPr>
          <w:b/>
          <w:sz w:val="24"/>
          <w:szCs w:val="24"/>
          <w:lang w:val="en-US"/>
        </w:rPr>
      </w:pPr>
      <w:r w:rsidRPr="00143088">
        <w:rPr>
          <w:b/>
          <w:sz w:val="24"/>
          <w:szCs w:val="24"/>
          <w:lang w:val="en-US"/>
        </w:rPr>
        <w:t>Shelf life</w:t>
      </w:r>
    </w:p>
    <w:p w:rsidR="006F3245" w:rsidRPr="00143088" w:rsidRDefault="00B304F5" w:rsidP="00103E3C">
      <w:pPr>
        <w:pStyle w:val="11"/>
        <w:spacing w:before="120" w:line="360" w:lineRule="auto"/>
        <w:rPr>
          <w:color w:val="000000"/>
          <w:sz w:val="24"/>
          <w:szCs w:val="24"/>
          <w:lang w:val="en-US"/>
        </w:rPr>
      </w:pPr>
      <w:r w:rsidRPr="00143088">
        <w:rPr>
          <w:color w:val="000000"/>
          <w:sz w:val="24"/>
          <w:szCs w:val="24"/>
          <w:lang w:val="en-US"/>
        </w:rPr>
        <w:t>3 years. Do not use after the expiry date.</w:t>
      </w:r>
    </w:p>
    <w:p w:rsidR="00BE1AB7" w:rsidRPr="00143088" w:rsidRDefault="00B304F5" w:rsidP="00103E3C">
      <w:pPr>
        <w:pStyle w:val="11"/>
        <w:spacing w:before="120" w:line="360" w:lineRule="auto"/>
        <w:rPr>
          <w:b/>
          <w:sz w:val="24"/>
          <w:szCs w:val="24"/>
          <w:lang w:val="en-US"/>
        </w:rPr>
      </w:pPr>
      <w:r w:rsidRPr="00143088">
        <w:rPr>
          <w:b/>
          <w:sz w:val="24"/>
          <w:szCs w:val="24"/>
          <w:lang w:val="en-US"/>
        </w:rPr>
        <w:t>Storage conditions</w:t>
      </w:r>
    </w:p>
    <w:p w:rsidR="00892B16" w:rsidRPr="00143088" w:rsidRDefault="00B304F5" w:rsidP="000507FC">
      <w:pPr>
        <w:pStyle w:val="11"/>
        <w:spacing w:before="120" w:line="360" w:lineRule="auto"/>
        <w:rPr>
          <w:color w:val="000000"/>
          <w:sz w:val="24"/>
          <w:szCs w:val="24"/>
          <w:lang w:val="en-US"/>
        </w:rPr>
      </w:pPr>
      <w:r w:rsidRPr="00143088">
        <w:rPr>
          <w:color w:val="000000"/>
          <w:sz w:val="24"/>
          <w:szCs w:val="24"/>
          <w:lang w:val="en-US"/>
        </w:rPr>
        <w:t>Store at &lt;8°С. Do not freeze</w:t>
      </w:r>
      <w:r w:rsidR="00A60ED2">
        <w:rPr>
          <w:color w:val="000000"/>
          <w:sz w:val="24"/>
          <w:szCs w:val="24"/>
          <w:lang w:val="en-US"/>
        </w:rPr>
        <w:t>.</w:t>
      </w:r>
      <w:r w:rsidRPr="00143088">
        <w:rPr>
          <w:color w:val="000000"/>
          <w:sz w:val="24"/>
          <w:szCs w:val="24"/>
          <w:lang w:val="en-US"/>
        </w:rPr>
        <w:t xml:space="preserve">  Keep out of the reach of children.</w:t>
      </w:r>
    </w:p>
    <w:p w:rsidR="00BE1AB7" w:rsidRPr="00143088" w:rsidRDefault="00B304F5" w:rsidP="000507FC">
      <w:pPr>
        <w:pStyle w:val="11"/>
        <w:spacing w:before="120" w:line="360" w:lineRule="auto"/>
        <w:rPr>
          <w:b/>
          <w:color w:val="000000"/>
          <w:sz w:val="24"/>
          <w:szCs w:val="24"/>
          <w:lang w:val="en-US"/>
        </w:rPr>
      </w:pPr>
      <w:r w:rsidRPr="00143088">
        <w:rPr>
          <w:b/>
          <w:color w:val="000000"/>
          <w:sz w:val="24"/>
          <w:szCs w:val="24"/>
          <w:lang w:val="en-US"/>
        </w:rPr>
        <w:t xml:space="preserve">Purchasing terms </w:t>
      </w:r>
    </w:p>
    <w:p w:rsidR="006F3245" w:rsidRPr="00143088" w:rsidRDefault="00B304F5" w:rsidP="00AD13D0">
      <w:pPr>
        <w:shd w:val="clear" w:color="auto" w:fill="FFFFFF"/>
        <w:spacing w:line="360" w:lineRule="auto"/>
        <w:jc w:val="both"/>
        <w:rPr>
          <w:color w:val="000000"/>
          <w:sz w:val="24"/>
          <w:szCs w:val="24"/>
          <w:lang w:val="en-US"/>
        </w:rPr>
      </w:pPr>
      <w:r w:rsidRPr="00143088">
        <w:rPr>
          <w:color w:val="000000"/>
          <w:sz w:val="24"/>
          <w:szCs w:val="24"/>
          <w:lang w:val="en-US"/>
        </w:rPr>
        <w:t>Available on prescription</w:t>
      </w:r>
    </w:p>
    <w:p w:rsidR="00AD13D0" w:rsidRPr="00143088" w:rsidRDefault="00B304F5" w:rsidP="00AD13D0">
      <w:pPr>
        <w:shd w:val="clear" w:color="auto" w:fill="FFFFFF"/>
        <w:spacing w:line="360" w:lineRule="auto"/>
        <w:jc w:val="both"/>
        <w:rPr>
          <w:b/>
          <w:snapToGrid w:val="0"/>
          <w:sz w:val="24"/>
          <w:szCs w:val="24"/>
          <w:lang w:val="en-US"/>
        </w:rPr>
      </w:pPr>
      <w:r w:rsidRPr="00143088">
        <w:rPr>
          <w:b/>
          <w:snapToGrid w:val="0"/>
          <w:sz w:val="24"/>
          <w:szCs w:val="24"/>
          <w:lang w:val="en-US"/>
        </w:rPr>
        <w:t xml:space="preserve">Manufacturer/Legal entity in whose name the marketing </w:t>
      </w:r>
      <w:r w:rsidR="00A60ED2" w:rsidRPr="00143088">
        <w:rPr>
          <w:b/>
          <w:snapToGrid w:val="0"/>
          <w:sz w:val="24"/>
          <w:szCs w:val="24"/>
          <w:lang w:val="en-US"/>
        </w:rPr>
        <w:t>authorization</w:t>
      </w:r>
      <w:r w:rsidRPr="00143088">
        <w:rPr>
          <w:b/>
          <w:snapToGrid w:val="0"/>
          <w:sz w:val="24"/>
          <w:szCs w:val="24"/>
          <w:lang w:val="en-US"/>
        </w:rPr>
        <w:t xml:space="preserve"> is given </w:t>
      </w:r>
    </w:p>
    <w:p w:rsidR="00892B16" w:rsidRPr="00143088" w:rsidRDefault="00B304F5" w:rsidP="00892B16">
      <w:pPr>
        <w:spacing w:line="360" w:lineRule="auto"/>
        <w:jc w:val="both"/>
        <w:rPr>
          <w:snapToGrid w:val="0"/>
          <w:sz w:val="24"/>
          <w:szCs w:val="24"/>
          <w:lang w:val="en-US"/>
        </w:rPr>
      </w:pPr>
      <w:r w:rsidRPr="00143088">
        <w:rPr>
          <w:snapToGrid w:val="0"/>
          <w:sz w:val="24"/>
          <w:szCs w:val="24"/>
          <w:lang w:val="en-US"/>
        </w:rPr>
        <w:t xml:space="preserve">Marketing </w:t>
      </w:r>
      <w:r w:rsidR="00A60ED2" w:rsidRPr="00143088">
        <w:rPr>
          <w:snapToGrid w:val="0"/>
          <w:sz w:val="24"/>
          <w:szCs w:val="24"/>
          <w:lang w:val="en-US"/>
        </w:rPr>
        <w:t>authorization</w:t>
      </w:r>
      <w:r w:rsidRPr="00143088">
        <w:rPr>
          <w:snapToGrid w:val="0"/>
          <w:sz w:val="24"/>
          <w:szCs w:val="24"/>
          <w:lang w:val="en-US"/>
        </w:rPr>
        <w:t xml:space="preserve"> holder and manufacturer: </w:t>
      </w:r>
    </w:p>
    <w:p w:rsidR="00892B16" w:rsidRPr="00143088" w:rsidRDefault="00B304F5" w:rsidP="00892B16">
      <w:pPr>
        <w:spacing w:line="360" w:lineRule="auto"/>
        <w:jc w:val="both"/>
        <w:rPr>
          <w:snapToGrid w:val="0"/>
          <w:sz w:val="24"/>
          <w:szCs w:val="24"/>
          <w:lang w:val="en-US"/>
        </w:rPr>
      </w:pPr>
      <w:r w:rsidRPr="00143088">
        <w:rPr>
          <w:snapToGrid w:val="0"/>
          <w:sz w:val="24"/>
          <w:szCs w:val="24"/>
          <w:lang w:val="en-US"/>
        </w:rPr>
        <w:t>NPO Petrovax Pharm LLC</w:t>
      </w:r>
    </w:p>
    <w:p w:rsidR="00892B16" w:rsidRPr="00143088" w:rsidRDefault="00B304F5" w:rsidP="00892B16">
      <w:pPr>
        <w:spacing w:line="360" w:lineRule="auto"/>
        <w:jc w:val="both"/>
        <w:rPr>
          <w:snapToGrid w:val="0"/>
          <w:sz w:val="24"/>
          <w:szCs w:val="24"/>
          <w:lang w:val="en-US"/>
        </w:rPr>
      </w:pPr>
      <w:r w:rsidRPr="00143088">
        <w:rPr>
          <w:snapToGrid w:val="0"/>
          <w:sz w:val="24"/>
          <w:szCs w:val="24"/>
          <w:lang w:val="en-US"/>
        </w:rPr>
        <w:t xml:space="preserve">Legal address/Manufacturing site address/Address for consumers' claims: Russia, 142143, Moscow Region, Podolsk,  </w:t>
      </w:r>
    </w:p>
    <w:p w:rsidR="00892B16" w:rsidRPr="00143088" w:rsidRDefault="00B304F5" w:rsidP="00892B16">
      <w:pPr>
        <w:spacing w:line="360" w:lineRule="auto"/>
        <w:jc w:val="both"/>
        <w:rPr>
          <w:snapToGrid w:val="0"/>
          <w:sz w:val="24"/>
          <w:szCs w:val="24"/>
          <w:lang w:val="en-US"/>
        </w:rPr>
      </w:pPr>
      <w:r w:rsidRPr="00143088">
        <w:rPr>
          <w:snapToGrid w:val="0"/>
          <w:sz w:val="24"/>
          <w:szCs w:val="24"/>
          <w:lang w:val="en-US"/>
        </w:rPr>
        <w:t xml:space="preserve">Pokrov village, Sosnovaya street, 1, tel./fax: </w:t>
      </w:r>
      <w:r w:rsidR="00A60ED2" w:rsidRPr="000E2739">
        <w:rPr>
          <w:snapToGrid w:val="0"/>
          <w:sz w:val="24"/>
          <w:szCs w:val="24"/>
          <w:lang w:val="en-US"/>
        </w:rPr>
        <w:t>+7</w:t>
      </w:r>
      <w:r w:rsidRPr="00143088">
        <w:rPr>
          <w:snapToGrid w:val="0"/>
          <w:sz w:val="24"/>
          <w:szCs w:val="24"/>
          <w:lang w:val="en-US"/>
        </w:rPr>
        <w:t>(495) 926-21-07, e-mail: info@petrovax.ru;</w:t>
      </w:r>
    </w:p>
    <w:p w:rsidR="00BE1AB7" w:rsidRPr="00143088" w:rsidRDefault="00B304F5" w:rsidP="00892B16">
      <w:pPr>
        <w:spacing w:line="360" w:lineRule="auto"/>
        <w:jc w:val="both"/>
        <w:rPr>
          <w:sz w:val="24"/>
          <w:szCs w:val="24"/>
          <w:lang w:val="en-US"/>
        </w:rPr>
      </w:pPr>
      <w:r w:rsidRPr="00143088">
        <w:rPr>
          <w:snapToGrid w:val="0"/>
          <w:sz w:val="24"/>
          <w:szCs w:val="24"/>
          <w:lang w:val="en-US"/>
        </w:rPr>
        <w:t>for claims: tel .: +7 (495) 730-75-45, 8 800 234-44-80, e-mail: adr@petrovax.ru</w:t>
      </w:r>
    </w:p>
    <w:p w:rsidR="00BE1AB7" w:rsidRPr="00143088" w:rsidRDefault="00BE1AB7" w:rsidP="005E7AF0">
      <w:pPr>
        <w:tabs>
          <w:tab w:val="left" w:pos="3620"/>
          <w:tab w:val="left" w:pos="9540"/>
        </w:tabs>
        <w:spacing w:line="360" w:lineRule="auto"/>
        <w:jc w:val="both"/>
        <w:rPr>
          <w:snapToGrid w:val="0"/>
          <w:sz w:val="24"/>
          <w:szCs w:val="24"/>
          <w:lang w:val="en-US"/>
        </w:rPr>
      </w:pPr>
    </w:p>
    <w:p w:rsidR="00BE1AB7" w:rsidRPr="00143088" w:rsidRDefault="00BE1AB7" w:rsidP="00AE4468">
      <w:pPr>
        <w:tabs>
          <w:tab w:val="left" w:pos="3620"/>
          <w:tab w:val="left" w:pos="9540"/>
        </w:tabs>
        <w:spacing w:line="360" w:lineRule="auto"/>
        <w:jc w:val="both"/>
        <w:rPr>
          <w:snapToGrid w:val="0"/>
          <w:sz w:val="24"/>
          <w:szCs w:val="24"/>
          <w:lang w:val="en-US"/>
        </w:rPr>
      </w:pPr>
    </w:p>
    <w:sectPr w:rsidR="00BE1AB7" w:rsidRPr="00143088" w:rsidSect="00103E3C">
      <w:footerReference w:type="default" r:id="rId7"/>
      <w:pgSz w:w="11907" w:h="16840" w:code="9"/>
      <w:pgMar w:top="1134" w:right="851" w:bottom="1134" w:left="1701" w:header="17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21" w:rsidRDefault="00DE0321">
      <w:r>
        <w:separator/>
      </w:r>
    </w:p>
  </w:endnote>
  <w:endnote w:type="continuationSeparator" w:id="0">
    <w:p w:rsidR="00DE0321" w:rsidRDefault="00DE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B7" w:rsidRDefault="00B304F5">
    <w:pPr>
      <w:pStyle w:val="13"/>
      <w:framePr w:wrap="auto" w:vAnchor="text" w:hAnchor="margin" w:xAlign="right" w:y="1"/>
      <w:rPr>
        <w:rStyle w:val="12"/>
      </w:rPr>
    </w:pPr>
    <w:r>
      <w:rPr>
        <w:rStyle w:val="12"/>
      </w:rPr>
      <w:fldChar w:fldCharType="begin"/>
    </w:r>
    <w:r>
      <w:rPr>
        <w:rStyle w:val="12"/>
      </w:rPr>
      <w:instrText xml:space="preserve">PAGE  </w:instrText>
    </w:r>
    <w:r>
      <w:rPr>
        <w:rStyle w:val="12"/>
      </w:rPr>
      <w:fldChar w:fldCharType="separate"/>
    </w:r>
    <w:r w:rsidR="00952B4B">
      <w:rPr>
        <w:rStyle w:val="12"/>
        <w:noProof/>
      </w:rPr>
      <w:t>5</w:t>
    </w:r>
    <w:r>
      <w:rPr>
        <w:rStyle w:val="12"/>
      </w:rPr>
      <w:fldChar w:fldCharType="end"/>
    </w:r>
  </w:p>
  <w:p w:rsidR="00BE1AB7" w:rsidRDefault="00BE1AB7" w:rsidP="004B445C">
    <w:pPr>
      <w:pStyle w:val="1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21" w:rsidRDefault="00DE0321">
      <w:r>
        <w:separator/>
      </w:r>
    </w:p>
  </w:footnote>
  <w:footnote w:type="continuationSeparator" w:id="0">
    <w:p w:rsidR="00DE0321" w:rsidRDefault="00DE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DDF"/>
    <w:multiLevelType w:val="hybridMultilevel"/>
    <w:tmpl w:val="F4B442E8"/>
    <w:lvl w:ilvl="0" w:tplc="FAA2E134">
      <w:start w:val="1"/>
      <w:numFmt w:val="bullet"/>
      <w:lvlText w:val=""/>
      <w:lvlJc w:val="left"/>
      <w:pPr>
        <w:tabs>
          <w:tab w:val="num" w:pos="693"/>
        </w:tabs>
        <w:ind w:left="693" w:hanging="360"/>
      </w:pPr>
      <w:rPr>
        <w:rFonts w:ascii="Symbol" w:hAnsi="Symbol" w:hint="default"/>
      </w:rPr>
    </w:lvl>
    <w:lvl w:ilvl="1" w:tplc="2FE4BA66" w:tentative="1">
      <w:start w:val="1"/>
      <w:numFmt w:val="bullet"/>
      <w:lvlText w:val="o"/>
      <w:lvlJc w:val="left"/>
      <w:pPr>
        <w:tabs>
          <w:tab w:val="num" w:pos="1413"/>
        </w:tabs>
        <w:ind w:left="1413" w:hanging="360"/>
      </w:pPr>
      <w:rPr>
        <w:rFonts w:ascii="Courier New" w:hAnsi="Courier New" w:hint="default"/>
      </w:rPr>
    </w:lvl>
    <w:lvl w:ilvl="2" w:tplc="4A18CBFE" w:tentative="1">
      <w:start w:val="1"/>
      <w:numFmt w:val="bullet"/>
      <w:lvlText w:val=""/>
      <w:lvlJc w:val="left"/>
      <w:pPr>
        <w:tabs>
          <w:tab w:val="num" w:pos="2133"/>
        </w:tabs>
        <w:ind w:left="2133" w:hanging="360"/>
      </w:pPr>
      <w:rPr>
        <w:rFonts w:ascii="Wingdings" w:hAnsi="Wingdings" w:hint="default"/>
      </w:rPr>
    </w:lvl>
    <w:lvl w:ilvl="3" w:tplc="57AA9792" w:tentative="1">
      <w:start w:val="1"/>
      <w:numFmt w:val="bullet"/>
      <w:lvlText w:val=""/>
      <w:lvlJc w:val="left"/>
      <w:pPr>
        <w:tabs>
          <w:tab w:val="num" w:pos="2853"/>
        </w:tabs>
        <w:ind w:left="2853" w:hanging="360"/>
      </w:pPr>
      <w:rPr>
        <w:rFonts w:ascii="Symbol" w:hAnsi="Symbol" w:hint="default"/>
      </w:rPr>
    </w:lvl>
    <w:lvl w:ilvl="4" w:tplc="339E97E8" w:tentative="1">
      <w:start w:val="1"/>
      <w:numFmt w:val="bullet"/>
      <w:lvlText w:val="o"/>
      <w:lvlJc w:val="left"/>
      <w:pPr>
        <w:tabs>
          <w:tab w:val="num" w:pos="3573"/>
        </w:tabs>
        <w:ind w:left="3573" w:hanging="360"/>
      </w:pPr>
      <w:rPr>
        <w:rFonts w:ascii="Courier New" w:hAnsi="Courier New" w:hint="default"/>
      </w:rPr>
    </w:lvl>
    <w:lvl w:ilvl="5" w:tplc="07385F84" w:tentative="1">
      <w:start w:val="1"/>
      <w:numFmt w:val="bullet"/>
      <w:lvlText w:val=""/>
      <w:lvlJc w:val="left"/>
      <w:pPr>
        <w:tabs>
          <w:tab w:val="num" w:pos="4293"/>
        </w:tabs>
        <w:ind w:left="4293" w:hanging="360"/>
      </w:pPr>
      <w:rPr>
        <w:rFonts w:ascii="Wingdings" w:hAnsi="Wingdings" w:hint="default"/>
      </w:rPr>
    </w:lvl>
    <w:lvl w:ilvl="6" w:tplc="ABD0C02A" w:tentative="1">
      <w:start w:val="1"/>
      <w:numFmt w:val="bullet"/>
      <w:lvlText w:val=""/>
      <w:lvlJc w:val="left"/>
      <w:pPr>
        <w:tabs>
          <w:tab w:val="num" w:pos="5013"/>
        </w:tabs>
        <w:ind w:left="5013" w:hanging="360"/>
      </w:pPr>
      <w:rPr>
        <w:rFonts w:ascii="Symbol" w:hAnsi="Symbol" w:hint="default"/>
      </w:rPr>
    </w:lvl>
    <w:lvl w:ilvl="7" w:tplc="893C60EC" w:tentative="1">
      <w:start w:val="1"/>
      <w:numFmt w:val="bullet"/>
      <w:lvlText w:val="o"/>
      <w:lvlJc w:val="left"/>
      <w:pPr>
        <w:tabs>
          <w:tab w:val="num" w:pos="5733"/>
        </w:tabs>
        <w:ind w:left="5733" w:hanging="360"/>
      </w:pPr>
      <w:rPr>
        <w:rFonts w:ascii="Courier New" w:hAnsi="Courier New" w:hint="default"/>
      </w:rPr>
    </w:lvl>
    <w:lvl w:ilvl="8" w:tplc="BFD85968" w:tentative="1">
      <w:start w:val="1"/>
      <w:numFmt w:val="bullet"/>
      <w:lvlText w:val=""/>
      <w:lvlJc w:val="left"/>
      <w:pPr>
        <w:tabs>
          <w:tab w:val="num" w:pos="6453"/>
        </w:tabs>
        <w:ind w:left="6453" w:hanging="360"/>
      </w:pPr>
      <w:rPr>
        <w:rFonts w:ascii="Wingdings" w:hAnsi="Wingdings" w:hint="default"/>
      </w:rPr>
    </w:lvl>
  </w:abstractNum>
  <w:abstractNum w:abstractNumId="1" w15:restartNumberingAfterBreak="0">
    <w:nsid w:val="085565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34594"/>
    <w:multiLevelType w:val="hybridMultilevel"/>
    <w:tmpl w:val="D7242DB2"/>
    <w:lvl w:ilvl="0" w:tplc="4314B514">
      <w:start w:val="1"/>
      <w:numFmt w:val="bullet"/>
      <w:lvlText w:val=""/>
      <w:lvlJc w:val="left"/>
      <w:pPr>
        <w:tabs>
          <w:tab w:val="num" w:pos="1320"/>
        </w:tabs>
        <w:ind w:left="1320" w:hanging="360"/>
      </w:pPr>
      <w:rPr>
        <w:rFonts w:ascii="Symbol" w:hAnsi="Symbol" w:hint="default"/>
      </w:rPr>
    </w:lvl>
    <w:lvl w:ilvl="1" w:tplc="58CCEF28" w:tentative="1">
      <w:start w:val="1"/>
      <w:numFmt w:val="bullet"/>
      <w:lvlText w:val="o"/>
      <w:lvlJc w:val="left"/>
      <w:pPr>
        <w:tabs>
          <w:tab w:val="num" w:pos="1440"/>
        </w:tabs>
        <w:ind w:left="1440" w:hanging="360"/>
      </w:pPr>
      <w:rPr>
        <w:rFonts w:ascii="Courier New" w:hAnsi="Courier New" w:hint="default"/>
      </w:rPr>
    </w:lvl>
    <w:lvl w:ilvl="2" w:tplc="66E4C27A" w:tentative="1">
      <w:start w:val="1"/>
      <w:numFmt w:val="bullet"/>
      <w:lvlText w:val=""/>
      <w:lvlJc w:val="left"/>
      <w:pPr>
        <w:tabs>
          <w:tab w:val="num" w:pos="2160"/>
        </w:tabs>
        <w:ind w:left="2160" w:hanging="360"/>
      </w:pPr>
      <w:rPr>
        <w:rFonts w:ascii="Wingdings" w:hAnsi="Wingdings" w:hint="default"/>
      </w:rPr>
    </w:lvl>
    <w:lvl w:ilvl="3" w:tplc="3F367BA0" w:tentative="1">
      <w:start w:val="1"/>
      <w:numFmt w:val="bullet"/>
      <w:lvlText w:val=""/>
      <w:lvlJc w:val="left"/>
      <w:pPr>
        <w:tabs>
          <w:tab w:val="num" w:pos="2880"/>
        </w:tabs>
        <w:ind w:left="2880" w:hanging="360"/>
      </w:pPr>
      <w:rPr>
        <w:rFonts w:ascii="Symbol" w:hAnsi="Symbol" w:hint="default"/>
      </w:rPr>
    </w:lvl>
    <w:lvl w:ilvl="4" w:tplc="307C5D0A" w:tentative="1">
      <w:start w:val="1"/>
      <w:numFmt w:val="bullet"/>
      <w:lvlText w:val="o"/>
      <w:lvlJc w:val="left"/>
      <w:pPr>
        <w:tabs>
          <w:tab w:val="num" w:pos="3600"/>
        </w:tabs>
        <w:ind w:left="3600" w:hanging="360"/>
      </w:pPr>
      <w:rPr>
        <w:rFonts w:ascii="Courier New" w:hAnsi="Courier New" w:hint="default"/>
      </w:rPr>
    </w:lvl>
    <w:lvl w:ilvl="5" w:tplc="C3A29C76" w:tentative="1">
      <w:start w:val="1"/>
      <w:numFmt w:val="bullet"/>
      <w:lvlText w:val=""/>
      <w:lvlJc w:val="left"/>
      <w:pPr>
        <w:tabs>
          <w:tab w:val="num" w:pos="4320"/>
        </w:tabs>
        <w:ind w:left="4320" w:hanging="360"/>
      </w:pPr>
      <w:rPr>
        <w:rFonts w:ascii="Wingdings" w:hAnsi="Wingdings" w:hint="default"/>
      </w:rPr>
    </w:lvl>
    <w:lvl w:ilvl="6" w:tplc="F500A280" w:tentative="1">
      <w:start w:val="1"/>
      <w:numFmt w:val="bullet"/>
      <w:lvlText w:val=""/>
      <w:lvlJc w:val="left"/>
      <w:pPr>
        <w:tabs>
          <w:tab w:val="num" w:pos="5040"/>
        </w:tabs>
        <w:ind w:left="5040" w:hanging="360"/>
      </w:pPr>
      <w:rPr>
        <w:rFonts w:ascii="Symbol" w:hAnsi="Symbol" w:hint="default"/>
      </w:rPr>
    </w:lvl>
    <w:lvl w:ilvl="7" w:tplc="98F4510E" w:tentative="1">
      <w:start w:val="1"/>
      <w:numFmt w:val="bullet"/>
      <w:lvlText w:val="o"/>
      <w:lvlJc w:val="left"/>
      <w:pPr>
        <w:tabs>
          <w:tab w:val="num" w:pos="5760"/>
        </w:tabs>
        <w:ind w:left="5760" w:hanging="360"/>
      </w:pPr>
      <w:rPr>
        <w:rFonts w:ascii="Courier New" w:hAnsi="Courier New" w:hint="default"/>
      </w:rPr>
    </w:lvl>
    <w:lvl w:ilvl="8" w:tplc="FF5400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82F37"/>
    <w:multiLevelType w:val="hybridMultilevel"/>
    <w:tmpl w:val="D522F500"/>
    <w:lvl w:ilvl="0" w:tplc="EC18E2E8">
      <w:start w:val="1"/>
      <w:numFmt w:val="bullet"/>
      <w:lvlText w:val=""/>
      <w:lvlJc w:val="left"/>
      <w:pPr>
        <w:tabs>
          <w:tab w:val="num" w:pos="1320"/>
        </w:tabs>
        <w:ind w:left="1320" w:hanging="360"/>
      </w:pPr>
      <w:rPr>
        <w:rFonts w:ascii="Symbol" w:hAnsi="Symbol" w:hint="default"/>
      </w:rPr>
    </w:lvl>
    <w:lvl w:ilvl="1" w:tplc="6A3CFAAE" w:tentative="1">
      <w:start w:val="1"/>
      <w:numFmt w:val="bullet"/>
      <w:lvlText w:val="o"/>
      <w:lvlJc w:val="left"/>
      <w:pPr>
        <w:tabs>
          <w:tab w:val="num" w:pos="2040"/>
        </w:tabs>
        <w:ind w:left="2040" w:hanging="360"/>
      </w:pPr>
      <w:rPr>
        <w:rFonts w:ascii="Courier New" w:hAnsi="Courier New" w:hint="default"/>
      </w:rPr>
    </w:lvl>
    <w:lvl w:ilvl="2" w:tplc="A97C7D00" w:tentative="1">
      <w:start w:val="1"/>
      <w:numFmt w:val="bullet"/>
      <w:lvlText w:val=""/>
      <w:lvlJc w:val="left"/>
      <w:pPr>
        <w:tabs>
          <w:tab w:val="num" w:pos="2760"/>
        </w:tabs>
        <w:ind w:left="2760" w:hanging="360"/>
      </w:pPr>
      <w:rPr>
        <w:rFonts w:ascii="Wingdings" w:hAnsi="Wingdings" w:hint="default"/>
      </w:rPr>
    </w:lvl>
    <w:lvl w:ilvl="3" w:tplc="F332500C" w:tentative="1">
      <w:start w:val="1"/>
      <w:numFmt w:val="bullet"/>
      <w:lvlText w:val=""/>
      <w:lvlJc w:val="left"/>
      <w:pPr>
        <w:tabs>
          <w:tab w:val="num" w:pos="3480"/>
        </w:tabs>
        <w:ind w:left="3480" w:hanging="360"/>
      </w:pPr>
      <w:rPr>
        <w:rFonts w:ascii="Symbol" w:hAnsi="Symbol" w:hint="default"/>
      </w:rPr>
    </w:lvl>
    <w:lvl w:ilvl="4" w:tplc="4978E69A" w:tentative="1">
      <w:start w:val="1"/>
      <w:numFmt w:val="bullet"/>
      <w:lvlText w:val="o"/>
      <w:lvlJc w:val="left"/>
      <w:pPr>
        <w:tabs>
          <w:tab w:val="num" w:pos="4200"/>
        </w:tabs>
        <w:ind w:left="4200" w:hanging="360"/>
      </w:pPr>
      <w:rPr>
        <w:rFonts w:ascii="Courier New" w:hAnsi="Courier New" w:hint="default"/>
      </w:rPr>
    </w:lvl>
    <w:lvl w:ilvl="5" w:tplc="28C2133C" w:tentative="1">
      <w:start w:val="1"/>
      <w:numFmt w:val="bullet"/>
      <w:lvlText w:val=""/>
      <w:lvlJc w:val="left"/>
      <w:pPr>
        <w:tabs>
          <w:tab w:val="num" w:pos="4920"/>
        </w:tabs>
        <w:ind w:left="4920" w:hanging="360"/>
      </w:pPr>
      <w:rPr>
        <w:rFonts w:ascii="Wingdings" w:hAnsi="Wingdings" w:hint="default"/>
      </w:rPr>
    </w:lvl>
    <w:lvl w:ilvl="6" w:tplc="5C92A528" w:tentative="1">
      <w:start w:val="1"/>
      <w:numFmt w:val="bullet"/>
      <w:lvlText w:val=""/>
      <w:lvlJc w:val="left"/>
      <w:pPr>
        <w:tabs>
          <w:tab w:val="num" w:pos="5640"/>
        </w:tabs>
        <w:ind w:left="5640" w:hanging="360"/>
      </w:pPr>
      <w:rPr>
        <w:rFonts w:ascii="Symbol" w:hAnsi="Symbol" w:hint="default"/>
      </w:rPr>
    </w:lvl>
    <w:lvl w:ilvl="7" w:tplc="85FC8140" w:tentative="1">
      <w:start w:val="1"/>
      <w:numFmt w:val="bullet"/>
      <w:lvlText w:val="o"/>
      <w:lvlJc w:val="left"/>
      <w:pPr>
        <w:tabs>
          <w:tab w:val="num" w:pos="6360"/>
        </w:tabs>
        <w:ind w:left="6360" w:hanging="360"/>
      </w:pPr>
      <w:rPr>
        <w:rFonts w:ascii="Courier New" w:hAnsi="Courier New" w:hint="default"/>
      </w:rPr>
    </w:lvl>
    <w:lvl w:ilvl="8" w:tplc="D540AE32"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72C24C6"/>
    <w:multiLevelType w:val="hybridMultilevel"/>
    <w:tmpl w:val="E528C802"/>
    <w:lvl w:ilvl="0" w:tplc="08EE0240">
      <w:start w:val="1"/>
      <w:numFmt w:val="bullet"/>
      <w:lvlText w:val=""/>
      <w:lvlJc w:val="left"/>
      <w:pPr>
        <w:tabs>
          <w:tab w:val="num" w:pos="795"/>
        </w:tabs>
        <w:ind w:left="795" w:hanging="360"/>
      </w:pPr>
      <w:rPr>
        <w:rFonts w:ascii="Symbol" w:hAnsi="Symbol" w:hint="default"/>
      </w:rPr>
    </w:lvl>
    <w:lvl w:ilvl="1" w:tplc="B32C2B98" w:tentative="1">
      <w:start w:val="1"/>
      <w:numFmt w:val="bullet"/>
      <w:lvlText w:val="o"/>
      <w:lvlJc w:val="left"/>
      <w:pPr>
        <w:tabs>
          <w:tab w:val="num" w:pos="1515"/>
        </w:tabs>
        <w:ind w:left="1515" w:hanging="360"/>
      </w:pPr>
      <w:rPr>
        <w:rFonts w:ascii="Courier New" w:hAnsi="Courier New" w:hint="default"/>
      </w:rPr>
    </w:lvl>
    <w:lvl w:ilvl="2" w:tplc="BD9ED654" w:tentative="1">
      <w:start w:val="1"/>
      <w:numFmt w:val="bullet"/>
      <w:lvlText w:val=""/>
      <w:lvlJc w:val="left"/>
      <w:pPr>
        <w:tabs>
          <w:tab w:val="num" w:pos="2235"/>
        </w:tabs>
        <w:ind w:left="2235" w:hanging="360"/>
      </w:pPr>
      <w:rPr>
        <w:rFonts w:ascii="Wingdings" w:hAnsi="Wingdings" w:hint="default"/>
      </w:rPr>
    </w:lvl>
    <w:lvl w:ilvl="3" w:tplc="EB44582A" w:tentative="1">
      <w:start w:val="1"/>
      <w:numFmt w:val="bullet"/>
      <w:lvlText w:val=""/>
      <w:lvlJc w:val="left"/>
      <w:pPr>
        <w:tabs>
          <w:tab w:val="num" w:pos="2955"/>
        </w:tabs>
        <w:ind w:left="2955" w:hanging="360"/>
      </w:pPr>
      <w:rPr>
        <w:rFonts w:ascii="Symbol" w:hAnsi="Symbol" w:hint="default"/>
      </w:rPr>
    </w:lvl>
    <w:lvl w:ilvl="4" w:tplc="DBC0F2AE" w:tentative="1">
      <w:start w:val="1"/>
      <w:numFmt w:val="bullet"/>
      <w:lvlText w:val="o"/>
      <w:lvlJc w:val="left"/>
      <w:pPr>
        <w:tabs>
          <w:tab w:val="num" w:pos="3675"/>
        </w:tabs>
        <w:ind w:left="3675" w:hanging="360"/>
      </w:pPr>
      <w:rPr>
        <w:rFonts w:ascii="Courier New" w:hAnsi="Courier New" w:hint="default"/>
      </w:rPr>
    </w:lvl>
    <w:lvl w:ilvl="5" w:tplc="9A46DAC2" w:tentative="1">
      <w:start w:val="1"/>
      <w:numFmt w:val="bullet"/>
      <w:lvlText w:val=""/>
      <w:lvlJc w:val="left"/>
      <w:pPr>
        <w:tabs>
          <w:tab w:val="num" w:pos="4395"/>
        </w:tabs>
        <w:ind w:left="4395" w:hanging="360"/>
      </w:pPr>
      <w:rPr>
        <w:rFonts w:ascii="Wingdings" w:hAnsi="Wingdings" w:hint="default"/>
      </w:rPr>
    </w:lvl>
    <w:lvl w:ilvl="6" w:tplc="EF728088" w:tentative="1">
      <w:start w:val="1"/>
      <w:numFmt w:val="bullet"/>
      <w:lvlText w:val=""/>
      <w:lvlJc w:val="left"/>
      <w:pPr>
        <w:tabs>
          <w:tab w:val="num" w:pos="5115"/>
        </w:tabs>
        <w:ind w:left="5115" w:hanging="360"/>
      </w:pPr>
      <w:rPr>
        <w:rFonts w:ascii="Symbol" w:hAnsi="Symbol" w:hint="default"/>
      </w:rPr>
    </w:lvl>
    <w:lvl w:ilvl="7" w:tplc="8086240A" w:tentative="1">
      <w:start w:val="1"/>
      <w:numFmt w:val="bullet"/>
      <w:lvlText w:val="o"/>
      <w:lvlJc w:val="left"/>
      <w:pPr>
        <w:tabs>
          <w:tab w:val="num" w:pos="5835"/>
        </w:tabs>
        <w:ind w:left="5835" w:hanging="360"/>
      </w:pPr>
      <w:rPr>
        <w:rFonts w:ascii="Courier New" w:hAnsi="Courier New" w:hint="default"/>
      </w:rPr>
    </w:lvl>
    <w:lvl w:ilvl="8" w:tplc="F2124C26"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7583519"/>
    <w:multiLevelType w:val="hybridMultilevel"/>
    <w:tmpl w:val="5A389640"/>
    <w:lvl w:ilvl="0" w:tplc="93D8708A">
      <w:start w:val="1"/>
      <w:numFmt w:val="bullet"/>
      <w:lvlText w:val=""/>
      <w:lvlJc w:val="left"/>
      <w:pPr>
        <w:tabs>
          <w:tab w:val="num" w:pos="1287"/>
        </w:tabs>
        <w:ind w:left="1287" w:hanging="360"/>
      </w:pPr>
      <w:rPr>
        <w:rFonts w:ascii="Symbol" w:hAnsi="Symbol" w:hint="default"/>
      </w:rPr>
    </w:lvl>
    <w:lvl w:ilvl="1" w:tplc="C3B47532" w:tentative="1">
      <w:start w:val="1"/>
      <w:numFmt w:val="bullet"/>
      <w:lvlText w:val="o"/>
      <w:lvlJc w:val="left"/>
      <w:pPr>
        <w:tabs>
          <w:tab w:val="num" w:pos="2007"/>
        </w:tabs>
        <w:ind w:left="2007" w:hanging="360"/>
      </w:pPr>
      <w:rPr>
        <w:rFonts w:ascii="Courier New" w:hAnsi="Courier New" w:hint="default"/>
      </w:rPr>
    </w:lvl>
    <w:lvl w:ilvl="2" w:tplc="89A60A46" w:tentative="1">
      <w:start w:val="1"/>
      <w:numFmt w:val="bullet"/>
      <w:lvlText w:val=""/>
      <w:lvlJc w:val="left"/>
      <w:pPr>
        <w:tabs>
          <w:tab w:val="num" w:pos="2727"/>
        </w:tabs>
        <w:ind w:left="2727" w:hanging="360"/>
      </w:pPr>
      <w:rPr>
        <w:rFonts w:ascii="Wingdings" w:hAnsi="Wingdings" w:hint="default"/>
      </w:rPr>
    </w:lvl>
    <w:lvl w:ilvl="3" w:tplc="9F0862BE" w:tentative="1">
      <w:start w:val="1"/>
      <w:numFmt w:val="bullet"/>
      <w:lvlText w:val=""/>
      <w:lvlJc w:val="left"/>
      <w:pPr>
        <w:tabs>
          <w:tab w:val="num" w:pos="3447"/>
        </w:tabs>
        <w:ind w:left="3447" w:hanging="360"/>
      </w:pPr>
      <w:rPr>
        <w:rFonts w:ascii="Symbol" w:hAnsi="Symbol" w:hint="default"/>
      </w:rPr>
    </w:lvl>
    <w:lvl w:ilvl="4" w:tplc="89C48738" w:tentative="1">
      <w:start w:val="1"/>
      <w:numFmt w:val="bullet"/>
      <w:lvlText w:val="o"/>
      <w:lvlJc w:val="left"/>
      <w:pPr>
        <w:tabs>
          <w:tab w:val="num" w:pos="4167"/>
        </w:tabs>
        <w:ind w:left="4167" w:hanging="360"/>
      </w:pPr>
      <w:rPr>
        <w:rFonts w:ascii="Courier New" w:hAnsi="Courier New" w:hint="default"/>
      </w:rPr>
    </w:lvl>
    <w:lvl w:ilvl="5" w:tplc="F93ACDC8" w:tentative="1">
      <w:start w:val="1"/>
      <w:numFmt w:val="bullet"/>
      <w:lvlText w:val=""/>
      <w:lvlJc w:val="left"/>
      <w:pPr>
        <w:tabs>
          <w:tab w:val="num" w:pos="4887"/>
        </w:tabs>
        <w:ind w:left="4887" w:hanging="360"/>
      </w:pPr>
      <w:rPr>
        <w:rFonts w:ascii="Wingdings" w:hAnsi="Wingdings" w:hint="default"/>
      </w:rPr>
    </w:lvl>
    <w:lvl w:ilvl="6" w:tplc="23248518" w:tentative="1">
      <w:start w:val="1"/>
      <w:numFmt w:val="bullet"/>
      <w:lvlText w:val=""/>
      <w:lvlJc w:val="left"/>
      <w:pPr>
        <w:tabs>
          <w:tab w:val="num" w:pos="5607"/>
        </w:tabs>
        <w:ind w:left="5607" w:hanging="360"/>
      </w:pPr>
      <w:rPr>
        <w:rFonts w:ascii="Symbol" w:hAnsi="Symbol" w:hint="default"/>
      </w:rPr>
    </w:lvl>
    <w:lvl w:ilvl="7" w:tplc="4BD0D558" w:tentative="1">
      <w:start w:val="1"/>
      <w:numFmt w:val="bullet"/>
      <w:lvlText w:val="o"/>
      <w:lvlJc w:val="left"/>
      <w:pPr>
        <w:tabs>
          <w:tab w:val="num" w:pos="6327"/>
        </w:tabs>
        <w:ind w:left="6327" w:hanging="360"/>
      </w:pPr>
      <w:rPr>
        <w:rFonts w:ascii="Courier New" w:hAnsi="Courier New" w:hint="default"/>
      </w:rPr>
    </w:lvl>
    <w:lvl w:ilvl="8" w:tplc="08227A8E"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8FC426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3F170F"/>
    <w:multiLevelType w:val="hybridMultilevel"/>
    <w:tmpl w:val="AA8A151A"/>
    <w:lvl w:ilvl="0" w:tplc="AA5AE458">
      <w:start w:val="1"/>
      <w:numFmt w:val="bullet"/>
      <w:lvlText w:val="-"/>
      <w:lvlJc w:val="left"/>
      <w:pPr>
        <w:tabs>
          <w:tab w:val="num" w:pos="1077"/>
        </w:tabs>
        <w:ind w:left="1276" w:hanging="199"/>
      </w:pPr>
      <w:rPr>
        <w:rFonts w:ascii="Times New Roman" w:hAnsi="Times New Roman" w:hint="default"/>
      </w:rPr>
    </w:lvl>
    <w:lvl w:ilvl="1" w:tplc="9EC2F858" w:tentative="1">
      <w:start w:val="1"/>
      <w:numFmt w:val="bullet"/>
      <w:lvlText w:val="o"/>
      <w:lvlJc w:val="left"/>
      <w:pPr>
        <w:tabs>
          <w:tab w:val="num" w:pos="1440"/>
        </w:tabs>
        <w:ind w:left="1440" w:hanging="360"/>
      </w:pPr>
      <w:rPr>
        <w:rFonts w:ascii="Courier New" w:hAnsi="Courier New" w:hint="default"/>
      </w:rPr>
    </w:lvl>
    <w:lvl w:ilvl="2" w:tplc="0A2805B8" w:tentative="1">
      <w:start w:val="1"/>
      <w:numFmt w:val="bullet"/>
      <w:lvlText w:val=""/>
      <w:lvlJc w:val="left"/>
      <w:pPr>
        <w:tabs>
          <w:tab w:val="num" w:pos="2160"/>
        </w:tabs>
        <w:ind w:left="2160" w:hanging="360"/>
      </w:pPr>
      <w:rPr>
        <w:rFonts w:ascii="Wingdings" w:hAnsi="Wingdings" w:hint="default"/>
      </w:rPr>
    </w:lvl>
    <w:lvl w:ilvl="3" w:tplc="B54CB4C0" w:tentative="1">
      <w:start w:val="1"/>
      <w:numFmt w:val="bullet"/>
      <w:lvlText w:val=""/>
      <w:lvlJc w:val="left"/>
      <w:pPr>
        <w:tabs>
          <w:tab w:val="num" w:pos="2880"/>
        </w:tabs>
        <w:ind w:left="2880" w:hanging="360"/>
      </w:pPr>
      <w:rPr>
        <w:rFonts w:ascii="Symbol" w:hAnsi="Symbol" w:hint="default"/>
      </w:rPr>
    </w:lvl>
    <w:lvl w:ilvl="4" w:tplc="BFF47238" w:tentative="1">
      <w:start w:val="1"/>
      <w:numFmt w:val="bullet"/>
      <w:lvlText w:val="o"/>
      <w:lvlJc w:val="left"/>
      <w:pPr>
        <w:tabs>
          <w:tab w:val="num" w:pos="3600"/>
        </w:tabs>
        <w:ind w:left="3600" w:hanging="360"/>
      </w:pPr>
      <w:rPr>
        <w:rFonts w:ascii="Courier New" w:hAnsi="Courier New" w:hint="default"/>
      </w:rPr>
    </w:lvl>
    <w:lvl w:ilvl="5" w:tplc="656A02FC" w:tentative="1">
      <w:start w:val="1"/>
      <w:numFmt w:val="bullet"/>
      <w:lvlText w:val=""/>
      <w:lvlJc w:val="left"/>
      <w:pPr>
        <w:tabs>
          <w:tab w:val="num" w:pos="4320"/>
        </w:tabs>
        <w:ind w:left="4320" w:hanging="360"/>
      </w:pPr>
      <w:rPr>
        <w:rFonts w:ascii="Wingdings" w:hAnsi="Wingdings" w:hint="default"/>
      </w:rPr>
    </w:lvl>
    <w:lvl w:ilvl="6" w:tplc="EE945C7A" w:tentative="1">
      <w:start w:val="1"/>
      <w:numFmt w:val="bullet"/>
      <w:lvlText w:val=""/>
      <w:lvlJc w:val="left"/>
      <w:pPr>
        <w:tabs>
          <w:tab w:val="num" w:pos="5040"/>
        </w:tabs>
        <w:ind w:left="5040" w:hanging="360"/>
      </w:pPr>
      <w:rPr>
        <w:rFonts w:ascii="Symbol" w:hAnsi="Symbol" w:hint="default"/>
      </w:rPr>
    </w:lvl>
    <w:lvl w:ilvl="7" w:tplc="23586E98" w:tentative="1">
      <w:start w:val="1"/>
      <w:numFmt w:val="bullet"/>
      <w:lvlText w:val="o"/>
      <w:lvlJc w:val="left"/>
      <w:pPr>
        <w:tabs>
          <w:tab w:val="num" w:pos="5760"/>
        </w:tabs>
        <w:ind w:left="5760" w:hanging="360"/>
      </w:pPr>
      <w:rPr>
        <w:rFonts w:ascii="Courier New" w:hAnsi="Courier New" w:hint="default"/>
      </w:rPr>
    </w:lvl>
    <w:lvl w:ilvl="8" w:tplc="3A7040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F58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FB7AD8"/>
    <w:multiLevelType w:val="hybridMultilevel"/>
    <w:tmpl w:val="ED8CB25A"/>
    <w:lvl w:ilvl="0" w:tplc="BCC8EE76">
      <w:start w:val="1"/>
      <w:numFmt w:val="bullet"/>
      <w:lvlText w:val="-"/>
      <w:lvlJc w:val="left"/>
      <w:pPr>
        <w:tabs>
          <w:tab w:val="num" w:pos="1077"/>
        </w:tabs>
        <w:ind w:left="1276" w:hanging="199"/>
      </w:pPr>
      <w:rPr>
        <w:rFonts w:ascii="Times New Roman" w:hAnsi="Times New Roman" w:hint="default"/>
      </w:rPr>
    </w:lvl>
    <w:lvl w:ilvl="1" w:tplc="B1D6E4DC" w:tentative="1">
      <w:start w:val="1"/>
      <w:numFmt w:val="bullet"/>
      <w:lvlText w:val="o"/>
      <w:lvlJc w:val="left"/>
      <w:pPr>
        <w:tabs>
          <w:tab w:val="num" w:pos="1440"/>
        </w:tabs>
        <w:ind w:left="1440" w:hanging="360"/>
      </w:pPr>
      <w:rPr>
        <w:rFonts w:ascii="Courier New" w:hAnsi="Courier New" w:hint="default"/>
      </w:rPr>
    </w:lvl>
    <w:lvl w:ilvl="2" w:tplc="4C8649F6" w:tentative="1">
      <w:start w:val="1"/>
      <w:numFmt w:val="bullet"/>
      <w:lvlText w:val=""/>
      <w:lvlJc w:val="left"/>
      <w:pPr>
        <w:tabs>
          <w:tab w:val="num" w:pos="2160"/>
        </w:tabs>
        <w:ind w:left="2160" w:hanging="360"/>
      </w:pPr>
      <w:rPr>
        <w:rFonts w:ascii="Wingdings" w:hAnsi="Wingdings" w:hint="default"/>
      </w:rPr>
    </w:lvl>
    <w:lvl w:ilvl="3" w:tplc="DEB09DAA" w:tentative="1">
      <w:start w:val="1"/>
      <w:numFmt w:val="bullet"/>
      <w:lvlText w:val=""/>
      <w:lvlJc w:val="left"/>
      <w:pPr>
        <w:tabs>
          <w:tab w:val="num" w:pos="2880"/>
        </w:tabs>
        <w:ind w:left="2880" w:hanging="360"/>
      </w:pPr>
      <w:rPr>
        <w:rFonts w:ascii="Symbol" w:hAnsi="Symbol" w:hint="default"/>
      </w:rPr>
    </w:lvl>
    <w:lvl w:ilvl="4" w:tplc="2F727DD0" w:tentative="1">
      <w:start w:val="1"/>
      <w:numFmt w:val="bullet"/>
      <w:lvlText w:val="o"/>
      <w:lvlJc w:val="left"/>
      <w:pPr>
        <w:tabs>
          <w:tab w:val="num" w:pos="3600"/>
        </w:tabs>
        <w:ind w:left="3600" w:hanging="360"/>
      </w:pPr>
      <w:rPr>
        <w:rFonts w:ascii="Courier New" w:hAnsi="Courier New" w:hint="default"/>
      </w:rPr>
    </w:lvl>
    <w:lvl w:ilvl="5" w:tplc="195E6B3C" w:tentative="1">
      <w:start w:val="1"/>
      <w:numFmt w:val="bullet"/>
      <w:lvlText w:val=""/>
      <w:lvlJc w:val="left"/>
      <w:pPr>
        <w:tabs>
          <w:tab w:val="num" w:pos="4320"/>
        </w:tabs>
        <w:ind w:left="4320" w:hanging="360"/>
      </w:pPr>
      <w:rPr>
        <w:rFonts w:ascii="Wingdings" w:hAnsi="Wingdings" w:hint="default"/>
      </w:rPr>
    </w:lvl>
    <w:lvl w:ilvl="6" w:tplc="364C540E" w:tentative="1">
      <w:start w:val="1"/>
      <w:numFmt w:val="bullet"/>
      <w:lvlText w:val=""/>
      <w:lvlJc w:val="left"/>
      <w:pPr>
        <w:tabs>
          <w:tab w:val="num" w:pos="5040"/>
        </w:tabs>
        <w:ind w:left="5040" w:hanging="360"/>
      </w:pPr>
      <w:rPr>
        <w:rFonts w:ascii="Symbol" w:hAnsi="Symbol" w:hint="default"/>
      </w:rPr>
    </w:lvl>
    <w:lvl w:ilvl="7" w:tplc="1F2A1A1A" w:tentative="1">
      <w:start w:val="1"/>
      <w:numFmt w:val="bullet"/>
      <w:lvlText w:val="o"/>
      <w:lvlJc w:val="left"/>
      <w:pPr>
        <w:tabs>
          <w:tab w:val="num" w:pos="5760"/>
        </w:tabs>
        <w:ind w:left="5760" w:hanging="360"/>
      </w:pPr>
      <w:rPr>
        <w:rFonts w:ascii="Courier New" w:hAnsi="Courier New" w:hint="default"/>
      </w:rPr>
    </w:lvl>
    <w:lvl w:ilvl="8" w:tplc="BDD66B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51A07"/>
    <w:multiLevelType w:val="singleLevel"/>
    <w:tmpl w:val="78EC77B0"/>
    <w:lvl w:ilvl="0">
      <w:numFmt w:val="bullet"/>
      <w:lvlText w:val="-"/>
      <w:lvlJc w:val="left"/>
      <w:pPr>
        <w:tabs>
          <w:tab w:val="num" w:pos="960"/>
        </w:tabs>
        <w:ind w:left="960" w:hanging="360"/>
      </w:pPr>
      <w:rPr>
        <w:rFonts w:hint="default"/>
      </w:rPr>
    </w:lvl>
  </w:abstractNum>
  <w:abstractNum w:abstractNumId="11" w15:restartNumberingAfterBreak="0">
    <w:nsid w:val="3DFF146E"/>
    <w:multiLevelType w:val="hybridMultilevel"/>
    <w:tmpl w:val="DB6AFB08"/>
    <w:lvl w:ilvl="0" w:tplc="AE684D8E">
      <w:start w:val="1"/>
      <w:numFmt w:val="bullet"/>
      <w:lvlText w:val=""/>
      <w:lvlJc w:val="left"/>
      <w:pPr>
        <w:tabs>
          <w:tab w:val="num" w:pos="720"/>
        </w:tabs>
        <w:ind w:left="720" w:hanging="360"/>
      </w:pPr>
      <w:rPr>
        <w:rFonts w:ascii="Symbol" w:hAnsi="Symbol" w:hint="default"/>
      </w:rPr>
    </w:lvl>
    <w:lvl w:ilvl="1" w:tplc="91C23020" w:tentative="1">
      <w:start w:val="1"/>
      <w:numFmt w:val="bullet"/>
      <w:lvlText w:val="o"/>
      <w:lvlJc w:val="left"/>
      <w:pPr>
        <w:tabs>
          <w:tab w:val="num" w:pos="1440"/>
        </w:tabs>
        <w:ind w:left="1440" w:hanging="360"/>
      </w:pPr>
      <w:rPr>
        <w:rFonts w:ascii="Courier New" w:hAnsi="Courier New" w:hint="default"/>
      </w:rPr>
    </w:lvl>
    <w:lvl w:ilvl="2" w:tplc="C5E0D40E" w:tentative="1">
      <w:start w:val="1"/>
      <w:numFmt w:val="bullet"/>
      <w:lvlText w:val=""/>
      <w:lvlJc w:val="left"/>
      <w:pPr>
        <w:tabs>
          <w:tab w:val="num" w:pos="2160"/>
        </w:tabs>
        <w:ind w:left="2160" w:hanging="360"/>
      </w:pPr>
      <w:rPr>
        <w:rFonts w:ascii="Wingdings" w:hAnsi="Wingdings" w:hint="default"/>
      </w:rPr>
    </w:lvl>
    <w:lvl w:ilvl="3" w:tplc="B406C498" w:tentative="1">
      <w:start w:val="1"/>
      <w:numFmt w:val="bullet"/>
      <w:lvlText w:val=""/>
      <w:lvlJc w:val="left"/>
      <w:pPr>
        <w:tabs>
          <w:tab w:val="num" w:pos="2880"/>
        </w:tabs>
        <w:ind w:left="2880" w:hanging="360"/>
      </w:pPr>
      <w:rPr>
        <w:rFonts w:ascii="Symbol" w:hAnsi="Symbol" w:hint="default"/>
      </w:rPr>
    </w:lvl>
    <w:lvl w:ilvl="4" w:tplc="90605230" w:tentative="1">
      <w:start w:val="1"/>
      <w:numFmt w:val="bullet"/>
      <w:lvlText w:val="o"/>
      <w:lvlJc w:val="left"/>
      <w:pPr>
        <w:tabs>
          <w:tab w:val="num" w:pos="3600"/>
        </w:tabs>
        <w:ind w:left="3600" w:hanging="360"/>
      </w:pPr>
      <w:rPr>
        <w:rFonts w:ascii="Courier New" w:hAnsi="Courier New" w:hint="default"/>
      </w:rPr>
    </w:lvl>
    <w:lvl w:ilvl="5" w:tplc="662AEB6A" w:tentative="1">
      <w:start w:val="1"/>
      <w:numFmt w:val="bullet"/>
      <w:lvlText w:val=""/>
      <w:lvlJc w:val="left"/>
      <w:pPr>
        <w:tabs>
          <w:tab w:val="num" w:pos="4320"/>
        </w:tabs>
        <w:ind w:left="4320" w:hanging="360"/>
      </w:pPr>
      <w:rPr>
        <w:rFonts w:ascii="Wingdings" w:hAnsi="Wingdings" w:hint="default"/>
      </w:rPr>
    </w:lvl>
    <w:lvl w:ilvl="6" w:tplc="F34EC14A" w:tentative="1">
      <w:start w:val="1"/>
      <w:numFmt w:val="bullet"/>
      <w:lvlText w:val=""/>
      <w:lvlJc w:val="left"/>
      <w:pPr>
        <w:tabs>
          <w:tab w:val="num" w:pos="5040"/>
        </w:tabs>
        <w:ind w:left="5040" w:hanging="360"/>
      </w:pPr>
      <w:rPr>
        <w:rFonts w:ascii="Symbol" w:hAnsi="Symbol" w:hint="default"/>
      </w:rPr>
    </w:lvl>
    <w:lvl w:ilvl="7" w:tplc="EE8AC728" w:tentative="1">
      <w:start w:val="1"/>
      <w:numFmt w:val="bullet"/>
      <w:lvlText w:val="o"/>
      <w:lvlJc w:val="left"/>
      <w:pPr>
        <w:tabs>
          <w:tab w:val="num" w:pos="5760"/>
        </w:tabs>
        <w:ind w:left="5760" w:hanging="360"/>
      </w:pPr>
      <w:rPr>
        <w:rFonts w:ascii="Courier New" w:hAnsi="Courier New" w:hint="default"/>
      </w:rPr>
    </w:lvl>
    <w:lvl w:ilvl="8" w:tplc="C882CE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E1E12"/>
    <w:multiLevelType w:val="hybridMultilevel"/>
    <w:tmpl w:val="32A0B0EC"/>
    <w:lvl w:ilvl="0" w:tplc="E7648F54">
      <w:start w:val="1"/>
      <w:numFmt w:val="bullet"/>
      <w:lvlText w:val=""/>
      <w:lvlJc w:val="left"/>
      <w:pPr>
        <w:tabs>
          <w:tab w:val="num" w:pos="1320"/>
        </w:tabs>
        <w:ind w:left="1320" w:hanging="360"/>
      </w:pPr>
      <w:rPr>
        <w:rFonts w:ascii="Symbol" w:hAnsi="Symbol" w:hint="default"/>
      </w:rPr>
    </w:lvl>
    <w:lvl w:ilvl="1" w:tplc="0EF6364C" w:tentative="1">
      <w:start w:val="1"/>
      <w:numFmt w:val="bullet"/>
      <w:lvlText w:val="o"/>
      <w:lvlJc w:val="left"/>
      <w:pPr>
        <w:tabs>
          <w:tab w:val="num" w:pos="1440"/>
        </w:tabs>
        <w:ind w:left="1440" w:hanging="360"/>
      </w:pPr>
      <w:rPr>
        <w:rFonts w:ascii="Courier New" w:hAnsi="Courier New" w:hint="default"/>
      </w:rPr>
    </w:lvl>
    <w:lvl w:ilvl="2" w:tplc="7A20BFDA" w:tentative="1">
      <w:start w:val="1"/>
      <w:numFmt w:val="bullet"/>
      <w:lvlText w:val=""/>
      <w:lvlJc w:val="left"/>
      <w:pPr>
        <w:tabs>
          <w:tab w:val="num" w:pos="2160"/>
        </w:tabs>
        <w:ind w:left="2160" w:hanging="360"/>
      </w:pPr>
      <w:rPr>
        <w:rFonts w:ascii="Wingdings" w:hAnsi="Wingdings" w:hint="default"/>
      </w:rPr>
    </w:lvl>
    <w:lvl w:ilvl="3" w:tplc="9092C6CA" w:tentative="1">
      <w:start w:val="1"/>
      <w:numFmt w:val="bullet"/>
      <w:lvlText w:val=""/>
      <w:lvlJc w:val="left"/>
      <w:pPr>
        <w:tabs>
          <w:tab w:val="num" w:pos="2880"/>
        </w:tabs>
        <w:ind w:left="2880" w:hanging="360"/>
      </w:pPr>
      <w:rPr>
        <w:rFonts w:ascii="Symbol" w:hAnsi="Symbol" w:hint="default"/>
      </w:rPr>
    </w:lvl>
    <w:lvl w:ilvl="4" w:tplc="A84E2536" w:tentative="1">
      <w:start w:val="1"/>
      <w:numFmt w:val="bullet"/>
      <w:lvlText w:val="o"/>
      <w:lvlJc w:val="left"/>
      <w:pPr>
        <w:tabs>
          <w:tab w:val="num" w:pos="3600"/>
        </w:tabs>
        <w:ind w:left="3600" w:hanging="360"/>
      </w:pPr>
      <w:rPr>
        <w:rFonts w:ascii="Courier New" w:hAnsi="Courier New" w:hint="default"/>
      </w:rPr>
    </w:lvl>
    <w:lvl w:ilvl="5" w:tplc="F0C2D17C" w:tentative="1">
      <w:start w:val="1"/>
      <w:numFmt w:val="bullet"/>
      <w:lvlText w:val=""/>
      <w:lvlJc w:val="left"/>
      <w:pPr>
        <w:tabs>
          <w:tab w:val="num" w:pos="4320"/>
        </w:tabs>
        <w:ind w:left="4320" w:hanging="360"/>
      </w:pPr>
      <w:rPr>
        <w:rFonts w:ascii="Wingdings" w:hAnsi="Wingdings" w:hint="default"/>
      </w:rPr>
    </w:lvl>
    <w:lvl w:ilvl="6" w:tplc="20B2C0D8" w:tentative="1">
      <w:start w:val="1"/>
      <w:numFmt w:val="bullet"/>
      <w:lvlText w:val=""/>
      <w:lvlJc w:val="left"/>
      <w:pPr>
        <w:tabs>
          <w:tab w:val="num" w:pos="5040"/>
        </w:tabs>
        <w:ind w:left="5040" w:hanging="360"/>
      </w:pPr>
      <w:rPr>
        <w:rFonts w:ascii="Symbol" w:hAnsi="Symbol" w:hint="default"/>
      </w:rPr>
    </w:lvl>
    <w:lvl w:ilvl="7" w:tplc="C3925FD4" w:tentative="1">
      <w:start w:val="1"/>
      <w:numFmt w:val="bullet"/>
      <w:lvlText w:val="o"/>
      <w:lvlJc w:val="left"/>
      <w:pPr>
        <w:tabs>
          <w:tab w:val="num" w:pos="5760"/>
        </w:tabs>
        <w:ind w:left="5760" w:hanging="360"/>
      </w:pPr>
      <w:rPr>
        <w:rFonts w:ascii="Courier New" w:hAnsi="Courier New" w:hint="default"/>
      </w:rPr>
    </w:lvl>
    <w:lvl w:ilvl="8" w:tplc="E6BEAC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83C11"/>
    <w:multiLevelType w:val="hybridMultilevel"/>
    <w:tmpl w:val="2BDE39FC"/>
    <w:lvl w:ilvl="0" w:tplc="F22AC866">
      <w:start w:val="1"/>
      <w:numFmt w:val="bullet"/>
      <w:lvlText w:val="-"/>
      <w:lvlJc w:val="left"/>
      <w:pPr>
        <w:tabs>
          <w:tab w:val="num" w:pos="2154"/>
        </w:tabs>
        <w:ind w:left="2353" w:hanging="199"/>
      </w:pPr>
      <w:rPr>
        <w:rFonts w:ascii="Times New Roman" w:hAnsi="Times New Roman" w:hint="default"/>
      </w:rPr>
    </w:lvl>
    <w:lvl w:ilvl="1" w:tplc="8E0042B4" w:tentative="1">
      <w:start w:val="1"/>
      <w:numFmt w:val="bullet"/>
      <w:lvlText w:val="o"/>
      <w:lvlJc w:val="left"/>
      <w:pPr>
        <w:tabs>
          <w:tab w:val="num" w:pos="2517"/>
        </w:tabs>
        <w:ind w:left="2517" w:hanging="360"/>
      </w:pPr>
      <w:rPr>
        <w:rFonts w:ascii="Courier New" w:hAnsi="Courier New" w:hint="default"/>
      </w:rPr>
    </w:lvl>
    <w:lvl w:ilvl="2" w:tplc="84F8A834" w:tentative="1">
      <w:start w:val="1"/>
      <w:numFmt w:val="bullet"/>
      <w:lvlText w:val=""/>
      <w:lvlJc w:val="left"/>
      <w:pPr>
        <w:tabs>
          <w:tab w:val="num" w:pos="3237"/>
        </w:tabs>
        <w:ind w:left="3237" w:hanging="360"/>
      </w:pPr>
      <w:rPr>
        <w:rFonts w:ascii="Wingdings" w:hAnsi="Wingdings" w:hint="default"/>
      </w:rPr>
    </w:lvl>
    <w:lvl w:ilvl="3" w:tplc="59127BB0" w:tentative="1">
      <w:start w:val="1"/>
      <w:numFmt w:val="bullet"/>
      <w:lvlText w:val=""/>
      <w:lvlJc w:val="left"/>
      <w:pPr>
        <w:tabs>
          <w:tab w:val="num" w:pos="3957"/>
        </w:tabs>
        <w:ind w:left="3957" w:hanging="360"/>
      </w:pPr>
      <w:rPr>
        <w:rFonts w:ascii="Symbol" w:hAnsi="Symbol" w:hint="default"/>
      </w:rPr>
    </w:lvl>
    <w:lvl w:ilvl="4" w:tplc="6C8CCC68" w:tentative="1">
      <w:start w:val="1"/>
      <w:numFmt w:val="bullet"/>
      <w:lvlText w:val="o"/>
      <w:lvlJc w:val="left"/>
      <w:pPr>
        <w:tabs>
          <w:tab w:val="num" w:pos="4677"/>
        </w:tabs>
        <w:ind w:left="4677" w:hanging="360"/>
      </w:pPr>
      <w:rPr>
        <w:rFonts w:ascii="Courier New" w:hAnsi="Courier New" w:hint="default"/>
      </w:rPr>
    </w:lvl>
    <w:lvl w:ilvl="5" w:tplc="6332D004" w:tentative="1">
      <w:start w:val="1"/>
      <w:numFmt w:val="bullet"/>
      <w:lvlText w:val=""/>
      <w:lvlJc w:val="left"/>
      <w:pPr>
        <w:tabs>
          <w:tab w:val="num" w:pos="5397"/>
        </w:tabs>
        <w:ind w:left="5397" w:hanging="360"/>
      </w:pPr>
      <w:rPr>
        <w:rFonts w:ascii="Wingdings" w:hAnsi="Wingdings" w:hint="default"/>
      </w:rPr>
    </w:lvl>
    <w:lvl w:ilvl="6" w:tplc="A698894A" w:tentative="1">
      <w:start w:val="1"/>
      <w:numFmt w:val="bullet"/>
      <w:lvlText w:val=""/>
      <w:lvlJc w:val="left"/>
      <w:pPr>
        <w:tabs>
          <w:tab w:val="num" w:pos="6117"/>
        </w:tabs>
        <w:ind w:left="6117" w:hanging="360"/>
      </w:pPr>
      <w:rPr>
        <w:rFonts w:ascii="Symbol" w:hAnsi="Symbol" w:hint="default"/>
      </w:rPr>
    </w:lvl>
    <w:lvl w:ilvl="7" w:tplc="4B042A2C" w:tentative="1">
      <w:start w:val="1"/>
      <w:numFmt w:val="bullet"/>
      <w:lvlText w:val="o"/>
      <w:lvlJc w:val="left"/>
      <w:pPr>
        <w:tabs>
          <w:tab w:val="num" w:pos="6837"/>
        </w:tabs>
        <w:ind w:left="6837" w:hanging="360"/>
      </w:pPr>
      <w:rPr>
        <w:rFonts w:ascii="Courier New" w:hAnsi="Courier New" w:hint="default"/>
      </w:rPr>
    </w:lvl>
    <w:lvl w:ilvl="8" w:tplc="5AF02524" w:tentative="1">
      <w:start w:val="1"/>
      <w:numFmt w:val="bullet"/>
      <w:lvlText w:val=""/>
      <w:lvlJc w:val="left"/>
      <w:pPr>
        <w:tabs>
          <w:tab w:val="num" w:pos="7557"/>
        </w:tabs>
        <w:ind w:left="7557" w:hanging="360"/>
      </w:pPr>
      <w:rPr>
        <w:rFonts w:ascii="Wingdings" w:hAnsi="Wingdings" w:hint="default"/>
      </w:rPr>
    </w:lvl>
  </w:abstractNum>
  <w:abstractNum w:abstractNumId="14" w15:restartNumberingAfterBreak="0">
    <w:nsid w:val="5E2F7F5F"/>
    <w:multiLevelType w:val="hybridMultilevel"/>
    <w:tmpl w:val="8C8426BE"/>
    <w:lvl w:ilvl="0" w:tplc="07AE0E4A">
      <w:start w:val="1"/>
      <w:numFmt w:val="bullet"/>
      <w:lvlText w:val="-"/>
      <w:lvlJc w:val="left"/>
      <w:pPr>
        <w:tabs>
          <w:tab w:val="num" w:pos="1644"/>
        </w:tabs>
        <w:ind w:left="1843" w:hanging="199"/>
      </w:pPr>
      <w:rPr>
        <w:rFonts w:ascii="Times New Roman" w:hAnsi="Times New Roman" w:hint="default"/>
      </w:rPr>
    </w:lvl>
    <w:lvl w:ilvl="1" w:tplc="6B364E96" w:tentative="1">
      <w:start w:val="1"/>
      <w:numFmt w:val="bullet"/>
      <w:lvlText w:val="o"/>
      <w:lvlJc w:val="left"/>
      <w:pPr>
        <w:tabs>
          <w:tab w:val="num" w:pos="2007"/>
        </w:tabs>
        <w:ind w:left="2007" w:hanging="360"/>
      </w:pPr>
      <w:rPr>
        <w:rFonts w:ascii="Courier New" w:hAnsi="Courier New" w:hint="default"/>
      </w:rPr>
    </w:lvl>
    <w:lvl w:ilvl="2" w:tplc="5D1EBF56" w:tentative="1">
      <w:start w:val="1"/>
      <w:numFmt w:val="bullet"/>
      <w:lvlText w:val=""/>
      <w:lvlJc w:val="left"/>
      <w:pPr>
        <w:tabs>
          <w:tab w:val="num" w:pos="2727"/>
        </w:tabs>
        <w:ind w:left="2727" w:hanging="360"/>
      </w:pPr>
      <w:rPr>
        <w:rFonts w:ascii="Wingdings" w:hAnsi="Wingdings" w:hint="default"/>
      </w:rPr>
    </w:lvl>
    <w:lvl w:ilvl="3" w:tplc="DBD8773C" w:tentative="1">
      <w:start w:val="1"/>
      <w:numFmt w:val="bullet"/>
      <w:lvlText w:val=""/>
      <w:lvlJc w:val="left"/>
      <w:pPr>
        <w:tabs>
          <w:tab w:val="num" w:pos="3447"/>
        </w:tabs>
        <w:ind w:left="3447" w:hanging="360"/>
      </w:pPr>
      <w:rPr>
        <w:rFonts w:ascii="Symbol" w:hAnsi="Symbol" w:hint="default"/>
      </w:rPr>
    </w:lvl>
    <w:lvl w:ilvl="4" w:tplc="DB5E43E2" w:tentative="1">
      <w:start w:val="1"/>
      <w:numFmt w:val="bullet"/>
      <w:lvlText w:val="o"/>
      <w:lvlJc w:val="left"/>
      <w:pPr>
        <w:tabs>
          <w:tab w:val="num" w:pos="4167"/>
        </w:tabs>
        <w:ind w:left="4167" w:hanging="360"/>
      </w:pPr>
      <w:rPr>
        <w:rFonts w:ascii="Courier New" w:hAnsi="Courier New" w:hint="default"/>
      </w:rPr>
    </w:lvl>
    <w:lvl w:ilvl="5" w:tplc="94A2918C" w:tentative="1">
      <w:start w:val="1"/>
      <w:numFmt w:val="bullet"/>
      <w:lvlText w:val=""/>
      <w:lvlJc w:val="left"/>
      <w:pPr>
        <w:tabs>
          <w:tab w:val="num" w:pos="4887"/>
        </w:tabs>
        <w:ind w:left="4887" w:hanging="360"/>
      </w:pPr>
      <w:rPr>
        <w:rFonts w:ascii="Wingdings" w:hAnsi="Wingdings" w:hint="default"/>
      </w:rPr>
    </w:lvl>
    <w:lvl w:ilvl="6" w:tplc="0BBC8EB0" w:tentative="1">
      <w:start w:val="1"/>
      <w:numFmt w:val="bullet"/>
      <w:lvlText w:val=""/>
      <w:lvlJc w:val="left"/>
      <w:pPr>
        <w:tabs>
          <w:tab w:val="num" w:pos="5607"/>
        </w:tabs>
        <w:ind w:left="5607" w:hanging="360"/>
      </w:pPr>
      <w:rPr>
        <w:rFonts w:ascii="Symbol" w:hAnsi="Symbol" w:hint="default"/>
      </w:rPr>
    </w:lvl>
    <w:lvl w:ilvl="7" w:tplc="9E247A18" w:tentative="1">
      <w:start w:val="1"/>
      <w:numFmt w:val="bullet"/>
      <w:lvlText w:val="o"/>
      <w:lvlJc w:val="left"/>
      <w:pPr>
        <w:tabs>
          <w:tab w:val="num" w:pos="6327"/>
        </w:tabs>
        <w:ind w:left="6327" w:hanging="360"/>
      </w:pPr>
      <w:rPr>
        <w:rFonts w:ascii="Courier New" w:hAnsi="Courier New" w:hint="default"/>
      </w:rPr>
    </w:lvl>
    <w:lvl w:ilvl="8" w:tplc="6C18362A"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04D41CB"/>
    <w:multiLevelType w:val="hybridMultilevel"/>
    <w:tmpl w:val="B008C892"/>
    <w:lvl w:ilvl="0" w:tplc="1304F290">
      <w:start w:val="1"/>
      <w:numFmt w:val="bullet"/>
      <w:lvlText w:val=""/>
      <w:lvlJc w:val="left"/>
      <w:pPr>
        <w:tabs>
          <w:tab w:val="num" w:pos="1320"/>
        </w:tabs>
        <w:ind w:left="1320" w:hanging="360"/>
      </w:pPr>
      <w:rPr>
        <w:rFonts w:ascii="Symbol" w:hAnsi="Symbol" w:hint="default"/>
      </w:rPr>
    </w:lvl>
    <w:lvl w:ilvl="1" w:tplc="1BB2F84C" w:tentative="1">
      <w:start w:val="1"/>
      <w:numFmt w:val="bullet"/>
      <w:lvlText w:val="o"/>
      <w:lvlJc w:val="left"/>
      <w:pPr>
        <w:tabs>
          <w:tab w:val="num" w:pos="1440"/>
        </w:tabs>
        <w:ind w:left="1440" w:hanging="360"/>
      </w:pPr>
      <w:rPr>
        <w:rFonts w:ascii="Courier New" w:hAnsi="Courier New" w:hint="default"/>
      </w:rPr>
    </w:lvl>
    <w:lvl w:ilvl="2" w:tplc="FDE4B284" w:tentative="1">
      <w:start w:val="1"/>
      <w:numFmt w:val="bullet"/>
      <w:lvlText w:val=""/>
      <w:lvlJc w:val="left"/>
      <w:pPr>
        <w:tabs>
          <w:tab w:val="num" w:pos="2160"/>
        </w:tabs>
        <w:ind w:left="2160" w:hanging="360"/>
      </w:pPr>
      <w:rPr>
        <w:rFonts w:ascii="Wingdings" w:hAnsi="Wingdings" w:hint="default"/>
      </w:rPr>
    </w:lvl>
    <w:lvl w:ilvl="3" w:tplc="17A8F414" w:tentative="1">
      <w:start w:val="1"/>
      <w:numFmt w:val="bullet"/>
      <w:lvlText w:val=""/>
      <w:lvlJc w:val="left"/>
      <w:pPr>
        <w:tabs>
          <w:tab w:val="num" w:pos="2880"/>
        </w:tabs>
        <w:ind w:left="2880" w:hanging="360"/>
      </w:pPr>
      <w:rPr>
        <w:rFonts w:ascii="Symbol" w:hAnsi="Symbol" w:hint="default"/>
      </w:rPr>
    </w:lvl>
    <w:lvl w:ilvl="4" w:tplc="50C03666" w:tentative="1">
      <w:start w:val="1"/>
      <w:numFmt w:val="bullet"/>
      <w:lvlText w:val="o"/>
      <w:lvlJc w:val="left"/>
      <w:pPr>
        <w:tabs>
          <w:tab w:val="num" w:pos="3600"/>
        </w:tabs>
        <w:ind w:left="3600" w:hanging="360"/>
      </w:pPr>
      <w:rPr>
        <w:rFonts w:ascii="Courier New" w:hAnsi="Courier New" w:hint="default"/>
      </w:rPr>
    </w:lvl>
    <w:lvl w:ilvl="5" w:tplc="4156CBB4" w:tentative="1">
      <w:start w:val="1"/>
      <w:numFmt w:val="bullet"/>
      <w:lvlText w:val=""/>
      <w:lvlJc w:val="left"/>
      <w:pPr>
        <w:tabs>
          <w:tab w:val="num" w:pos="4320"/>
        </w:tabs>
        <w:ind w:left="4320" w:hanging="360"/>
      </w:pPr>
      <w:rPr>
        <w:rFonts w:ascii="Wingdings" w:hAnsi="Wingdings" w:hint="default"/>
      </w:rPr>
    </w:lvl>
    <w:lvl w:ilvl="6" w:tplc="354C32D8" w:tentative="1">
      <w:start w:val="1"/>
      <w:numFmt w:val="bullet"/>
      <w:lvlText w:val=""/>
      <w:lvlJc w:val="left"/>
      <w:pPr>
        <w:tabs>
          <w:tab w:val="num" w:pos="5040"/>
        </w:tabs>
        <w:ind w:left="5040" w:hanging="360"/>
      </w:pPr>
      <w:rPr>
        <w:rFonts w:ascii="Symbol" w:hAnsi="Symbol" w:hint="default"/>
      </w:rPr>
    </w:lvl>
    <w:lvl w:ilvl="7" w:tplc="E980785E" w:tentative="1">
      <w:start w:val="1"/>
      <w:numFmt w:val="bullet"/>
      <w:lvlText w:val="o"/>
      <w:lvlJc w:val="left"/>
      <w:pPr>
        <w:tabs>
          <w:tab w:val="num" w:pos="5760"/>
        </w:tabs>
        <w:ind w:left="5760" w:hanging="360"/>
      </w:pPr>
      <w:rPr>
        <w:rFonts w:ascii="Courier New" w:hAnsi="Courier New" w:hint="default"/>
      </w:rPr>
    </w:lvl>
    <w:lvl w:ilvl="8" w:tplc="3C9CAC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9382D"/>
    <w:multiLevelType w:val="hybridMultilevel"/>
    <w:tmpl w:val="AF4217BA"/>
    <w:lvl w:ilvl="0" w:tplc="4224F582">
      <w:start w:val="1"/>
      <w:numFmt w:val="bullet"/>
      <w:lvlText w:val=""/>
      <w:lvlJc w:val="left"/>
      <w:pPr>
        <w:tabs>
          <w:tab w:val="num" w:pos="720"/>
        </w:tabs>
        <w:ind w:left="720" w:hanging="360"/>
      </w:pPr>
      <w:rPr>
        <w:rFonts w:ascii="Symbol" w:hAnsi="Symbol" w:hint="default"/>
      </w:rPr>
    </w:lvl>
    <w:lvl w:ilvl="1" w:tplc="21B21642" w:tentative="1">
      <w:start w:val="1"/>
      <w:numFmt w:val="bullet"/>
      <w:lvlText w:val="o"/>
      <w:lvlJc w:val="left"/>
      <w:pPr>
        <w:tabs>
          <w:tab w:val="num" w:pos="1440"/>
        </w:tabs>
        <w:ind w:left="1440" w:hanging="360"/>
      </w:pPr>
      <w:rPr>
        <w:rFonts w:ascii="Courier New" w:hAnsi="Courier New" w:hint="default"/>
      </w:rPr>
    </w:lvl>
    <w:lvl w:ilvl="2" w:tplc="441E9390" w:tentative="1">
      <w:start w:val="1"/>
      <w:numFmt w:val="bullet"/>
      <w:lvlText w:val=""/>
      <w:lvlJc w:val="left"/>
      <w:pPr>
        <w:tabs>
          <w:tab w:val="num" w:pos="2160"/>
        </w:tabs>
        <w:ind w:left="2160" w:hanging="360"/>
      </w:pPr>
      <w:rPr>
        <w:rFonts w:ascii="Wingdings" w:hAnsi="Wingdings" w:hint="default"/>
      </w:rPr>
    </w:lvl>
    <w:lvl w:ilvl="3" w:tplc="5F0A7B02" w:tentative="1">
      <w:start w:val="1"/>
      <w:numFmt w:val="bullet"/>
      <w:lvlText w:val=""/>
      <w:lvlJc w:val="left"/>
      <w:pPr>
        <w:tabs>
          <w:tab w:val="num" w:pos="2880"/>
        </w:tabs>
        <w:ind w:left="2880" w:hanging="360"/>
      </w:pPr>
      <w:rPr>
        <w:rFonts w:ascii="Symbol" w:hAnsi="Symbol" w:hint="default"/>
      </w:rPr>
    </w:lvl>
    <w:lvl w:ilvl="4" w:tplc="9FDC2C0C" w:tentative="1">
      <w:start w:val="1"/>
      <w:numFmt w:val="bullet"/>
      <w:lvlText w:val="o"/>
      <w:lvlJc w:val="left"/>
      <w:pPr>
        <w:tabs>
          <w:tab w:val="num" w:pos="3600"/>
        </w:tabs>
        <w:ind w:left="3600" w:hanging="360"/>
      </w:pPr>
      <w:rPr>
        <w:rFonts w:ascii="Courier New" w:hAnsi="Courier New" w:hint="default"/>
      </w:rPr>
    </w:lvl>
    <w:lvl w:ilvl="5" w:tplc="1108AD0E" w:tentative="1">
      <w:start w:val="1"/>
      <w:numFmt w:val="bullet"/>
      <w:lvlText w:val=""/>
      <w:lvlJc w:val="left"/>
      <w:pPr>
        <w:tabs>
          <w:tab w:val="num" w:pos="4320"/>
        </w:tabs>
        <w:ind w:left="4320" w:hanging="360"/>
      </w:pPr>
      <w:rPr>
        <w:rFonts w:ascii="Wingdings" w:hAnsi="Wingdings" w:hint="default"/>
      </w:rPr>
    </w:lvl>
    <w:lvl w:ilvl="6" w:tplc="77160246" w:tentative="1">
      <w:start w:val="1"/>
      <w:numFmt w:val="bullet"/>
      <w:lvlText w:val=""/>
      <w:lvlJc w:val="left"/>
      <w:pPr>
        <w:tabs>
          <w:tab w:val="num" w:pos="5040"/>
        </w:tabs>
        <w:ind w:left="5040" w:hanging="360"/>
      </w:pPr>
      <w:rPr>
        <w:rFonts w:ascii="Symbol" w:hAnsi="Symbol" w:hint="default"/>
      </w:rPr>
    </w:lvl>
    <w:lvl w:ilvl="7" w:tplc="9BEE9978" w:tentative="1">
      <w:start w:val="1"/>
      <w:numFmt w:val="bullet"/>
      <w:lvlText w:val="o"/>
      <w:lvlJc w:val="left"/>
      <w:pPr>
        <w:tabs>
          <w:tab w:val="num" w:pos="5760"/>
        </w:tabs>
        <w:ind w:left="5760" w:hanging="360"/>
      </w:pPr>
      <w:rPr>
        <w:rFonts w:ascii="Courier New" w:hAnsi="Courier New" w:hint="default"/>
      </w:rPr>
    </w:lvl>
    <w:lvl w:ilvl="8" w:tplc="FA0894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475DF"/>
    <w:multiLevelType w:val="hybridMultilevel"/>
    <w:tmpl w:val="24DA4B48"/>
    <w:lvl w:ilvl="0" w:tplc="625CD3F0">
      <w:start w:val="1"/>
      <w:numFmt w:val="bullet"/>
      <w:lvlText w:val="-"/>
      <w:lvlJc w:val="left"/>
      <w:pPr>
        <w:tabs>
          <w:tab w:val="num" w:pos="0"/>
        </w:tabs>
        <w:ind w:left="199" w:hanging="199"/>
      </w:pPr>
      <w:rPr>
        <w:rFonts w:ascii="Times New Roman" w:hAnsi="Times New Roman" w:hint="default"/>
      </w:rPr>
    </w:lvl>
    <w:lvl w:ilvl="1" w:tplc="46D0F784">
      <w:start w:val="1"/>
      <w:numFmt w:val="bullet"/>
      <w:lvlText w:val="-"/>
      <w:lvlJc w:val="left"/>
      <w:pPr>
        <w:tabs>
          <w:tab w:val="num" w:pos="720"/>
        </w:tabs>
        <w:ind w:left="919" w:hanging="199"/>
      </w:pPr>
      <w:rPr>
        <w:rFonts w:ascii="Times New Roman" w:hAnsi="Times New Roman" w:hint="default"/>
      </w:rPr>
    </w:lvl>
    <w:lvl w:ilvl="2" w:tplc="3D764DCE" w:tentative="1">
      <w:start w:val="1"/>
      <w:numFmt w:val="bullet"/>
      <w:lvlText w:val=""/>
      <w:lvlJc w:val="left"/>
      <w:pPr>
        <w:tabs>
          <w:tab w:val="num" w:pos="1800"/>
        </w:tabs>
        <w:ind w:left="1800" w:hanging="360"/>
      </w:pPr>
      <w:rPr>
        <w:rFonts w:ascii="Wingdings" w:hAnsi="Wingdings" w:hint="default"/>
      </w:rPr>
    </w:lvl>
    <w:lvl w:ilvl="3" w:tplc="64DE0C16" w:tentative="1">
      <w:start w:val="1"/>
      <w:numFmt w:val="bullet"/>
      <w:lvlText w:val=""/>
      <w:lvlJc w:val="left"/>
      <w:pPr>
        <w:tabs>
          <w:tab w:val="num" w:pos="2520"/>
        </w:tabs>
        <w:ind w:left="2520" w:hanging="360"/>
      </w:pPr>
      <w:rPr>
        <w:rFonts w:ascii="Symbol" w:hAnsi="Symbol" w:hint="default"/>
      </w:rPr>
    </w:lvl>
    <w:lvl w:ilvl="4" w:tplc="279A8216" w:tentative="1">
      <w:start w:val="1"/>
      <w:numFmt w:val="bullet"/>
      <w:lvlText w:val="o"/>
      <w:lvlJc w:val="left"/>
      <w:pPr>
        <w:tabs>
          <w:tab w:val="num" w:pos="3240"/>
        </w:tabs>
        <w:ind w:left="3240" w:hanging="360"/>
      </w:pPr>
      <w:rPr>
        <w:rFonts w:ascii="Courier New" w:hAnsi="Courier New" w:hint="default"/>
      </w:rPr>
    </w:lvl>
    <w:lvl w:ilvl="5" w:tplc="0CFEE418" w:tentative="1">
      <w:start w:val="1"/>
      <w:numFmt w:val="bullet"/>
      <w:lvlText w:val=""/>
      <w:lvlJc w:val="left"/>
      <w:pPr>
        <w:tabs>
          <w:tab w:val="num" w:pos="3960"/>
        </w:tabs>
        <w:ind w:left="3960" w:hanging="360"/>
      </w:pPr>
      <w:rPr>
        <w:rFonts w:ascii="Wingdings" w:hAnsi="Wingdings" w:hint="default"/>
      </w:rPr>
    </w:lvl>
    <w:lvl w:ilvl="6" w:tplc="2F0C5968" w:tentative="1">
      <w:start w:val="1"/>
      <w:numFmt w:val="bullet"/>
      <w:lvlText w:val=""/>
      <w:lvlJc w:val="left"/>
      <w:pPr>
        <w:tabs>
          <w:tab w:val="num" w:pos="4680"/>
        </w:tabs>
        <w:ind w:left="4680" w:hanging="360"/>
      </w:pPr>
      <w:rPr>
        <w:rFonts w:ascii="Symbol" w:hAnsi="Symbol" w:hint="default"/>
      </w:rPr>
    </w:lvl>
    <w:lvl w:ilvl="7" w:tplc="861AF7EC" w:tentative="1">
      <w:start w:val="1"/>
      <w:numFmt w:val="bullet"/>
      <w:lvlText w:val="o"/>
      <w:lvlJc w:val="left"/>
      <w:pPr>
        <w:tabs>
          <w:tab w:val="num" w:pos="5400"/>
        </w:tabs>
        <w:ind w:left="5400" w:hanging="360"/>
      </w:pPr>
      <w:rPr>
        <w:rFonts w:ascii="Courier New" w:hAnsi="Courier New" w:hint="default"/>
      </w:rPr>
    </w:lvl>
    <w:lvl w:ilvl="8" w:tplc="BE0203D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BF19D0"/>
    <w:multiLevelType w:val="hybridMultilevel"/>
    <w:tmpl w:val="E2FA54A2"/>
    <w:lvl w:ilvl="0" w:tplc="617E97D0">
      <w:start w:val="1"/>
      <w:numFmt w:val="bullet"/>
      <w:lvlText w:val=""/>
      <w:lvlJc w:val="left"/>
      <w:pPr>
        <w:tabs>
          <w:tab w:val="num" w:pos="780"/>
        </w:tabs>
        <w:ind w:left="780" w:hanging="360"/>
      </w:pPr>
      <w:rPr>
        <w:rFonts w:ascii="Symbol" w:hAnsi="Symbol" w:hint="default"/>
      </w:rPr>
    </w:lvl>
    <w:lvl w:ilvl="1" w:tplc="9A6E1B04" w:tentative="1">
      <w:start w:val="1"/>
      <w:numFmt w:val="bullet"/>
      <w:lvlText w:val="o"/>
      <w:lvlJc w:val="left"/>
      <w:pPr>
        <w:tabs>
          <w:tab w:val="num" w:pos="1500"/>
        </w:tabs>
        <w:ind w:left="1500" w:hanging="360"/>
      </w:pPr>
      <w:rPr>
        <w:rFonts w:ascii="Courier New" w:hAnsi="Courier New" w:hint="default"/>
      </w:rPr>
    </w:lvl>
    <w:lvl w:ilvl="2" w:tplc="EE6C232E" w:tentative="1">
      <w:start w:val="1"/>
      <w:numFmt w:val="bullet"/>
      <w:lvlText w:val=""/>
      <w:lvlJc w:val="left"/>
      <w:pPr>
        <w:tabs>
          <w:tab w:val="num" w:pos="2220"/>
        </w:tabs>
        <w:ind w:left="2220" w:hanging="360"/>
      </w:pPr>
      <w:rPr>
        <w:rFonts w:ascii="Wingdings" w:hAnsi="Wingdings" w:hint="default"/>
      </w:rPr>
    </w:lvl>
    <w:lvl w:ilvl="3" w:tplc="F03A8E22" w:tentative="1">
      <w:start w:val="1"/>
      <w:numFmt w:val="bullet"/>
      <w:lvlText w:val=""/>
      <w:lvlJc w:val="left"/>
      <w:pPr>
        <w:tabs>
          <w:tab w:val="num" w:pos="2940"/>
        </w:tabs>
        <w:ind w:left="2940" w:hanging="360"/>
      </w:pPr>
      <w:rPr>
        <w:rFonts w:ascii="Symbol" w:hAnsi="Symbol" w:hint="default"/>
      </w:rPr>
    </w:lvl>
    <w:lvl w:ilvl="4" w:tplc="1552402E" w:tentative="1">
      <w:start w:val="1"/>
      <w:numFmt w:val="bullet"/>
      <w:lvlText w:val="o"/>
      <w:lvlJc w:val="left"/>
      <w:pPr>
        <w:tabs>
          <w:tab w:val="num" w:pos="3660"/>
        </w:tabs>
        <w:ind w:left="3660" w:hanging="360"/>
      </w:pPr>
      <w:rPr>
        <w:rFonts w:ascii="Courier New" w:hAnsi="Courier New" w:hint="default"/>
      </w:rPr>
    </w:lvl>
    <w:lvl w:ilvl="5" w:tplc="85A23A60" w:tentative="1">
      <w:start w:val="1"/>
      <w:numFmt w:val="bullet"/>
      <w:lvlText w:val=""/>
      <w:lvlJc w:val="left"/>
      <w:pPr>
        <w:tabs>
          <w:tab w:val="num" w:pos="4380"/>
        </w:tabs>
        <w:ind w:left="4380" w:hanging="360"/>
      </w:pPr>
      <w:rPr>
        <w:rFonts w:ascii="Wingdings" w:hAnsi="Wingdings" w:hint="default"/>
      </w:rPr>
    </w:lvl>
    <w:lvl w:ilvl="6" w:tplc="D0D4FFF8" w:tentative="1">
      <w:start w:val="1"/>
      <w:numFmt w:val="bullet"/>
      <w:lvlText w:val=""/>
      <w:lvlJc w:val="left"/>
      <w:pPr>
        <w:tabs>
          <w:tab w:val="num" w:pos="5100"/>
        </w:tabs>
        <w:ind w:left="5100" w:hanging="360"/>
      </w:pPr>
      <w:rPr>
        <w:rFonts w:ascii="Symbol" w:hAnsi="Symbol" w:hint="default"/>
      </w:rPr>
    </w:lvl>
    <w:lvl w:ilvl="7" w:tplc="8C46C4A2" w:tentative="1">
      <w:start w:val="1"/>
      <w:numFmt w:val="bullet"/>
      <w:lvlText w:val="o"/>
      <w:lvlJc w:val="left"/>
      <w:pPr>
        <w:tabs>
          <w:tab w:val="num" w:pos="5820"/>
        </w:tabs>
        <w:ind w:left="5820" w:hanging="360"/>
      </w:pPr>
      <w:rPr>
        <w:rFonts w:ascii="Courier New" w:hAnsi="Courier New" w:hint="default"/>
      </w:rPr>
    </w:lvl>
    <w:lvl w:ilvl="8" w:tplc="05B42FC2"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7D33662"/>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8"/>
  </w:num>
  <w:num w:numId="3">
    <w:abstractNumId w:val="19"/>
  </w:num>
  <w:num w:numId="4">
    <w:abstractNumId w:val="3"/>
  </w:num>
  <w:num w:numId="5">
    <w:abstractNumId w:val="17"/>
  </w:num>
  <w:num w:numId="6">
    <w:abstractNumId w:val="5"/>
  </w:num>
  <w:num w:numId="7">
    <w:abstractNumId w:val="10"/>
  </w:num>
  <w:num w:numId="8">
    <w:abstractNumId w:val="14"/>
  </w:num>
  <w:num w:numId="9">
    <w:abstractNumId w:val="7"/>
  </w:num>
  <w:num w:numId="10">
    <w:abstractNumId w:val="13"/>
  </w:num>
  <w:num w:numId="11">
    <w:abstractNumId w:val="9"/>
  </w:num>
  <w:num w:numId="12">
    <w:abstractNumId w:val="15"/>
  </w:num>
  <w:num w:numId="13">
    <w:abstractNumId w:val="2"/>
  </w:num>
  <w:num w:numId="14">
    <w:abstractNumId w:val="12"/>
  </w:num>
  <w:num w:numId="15">
    <w:abstractNumId w:val="1"/>
  </w:num>
  <w:num w:numId="16">
    <w:abstractNumId w:val="0"/>
  </w:num>
  <w:num w:numId="17">
    <w:abstractNumId w:val="16"/>
  </w:num>
  <w:num w:numId="18">
    <w:abstractNumId w:val="1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66"/>
    <w:rsid w:val="00000A05"/>
    <w:rsid w:val="00004F26"/>
    <w:rsid w:val="000304D6"/>
    <w:rsid w:val="000336DE"/>
    <w:rsid w:val="0004073C"/>
    <w:rsid w:val="00041993"/>
    <w:rsid w:val="000471D3"/>
    <w:rsid w:val="000476C3"/>
    <w:rsid w:val="000507FC"/>
    <w:rsid w:val="00054F25"/>
    <w:rsid w:val="0005582B"/>
    <w:rsid w:val="00062583"/>
    <w:rsid w:val="000672F7"/>
    <w:rsid w:val="00082D32"/>
    <w:rsid w:val="00084FD0"/>
    <w:rsid w:val="00087BC6"/>
    <w:rsid w:val="00096268"/>
    <w:rsid w:val="000B1D86"/>
    <w:rsid w:val="000B55B3"/>
    <w:rsid w:val="000B6C9B"/>
    <w:rsid w:val="000D4CB8"/>
    <w:rsid w:val="000D6AEE"/>
    <w:rsid w:val="000E2739"/>
    <w:rsid w:val="000E444A"/>
    <w:rsid w:val="000E60DF"/>
    <w:rsid w:val="000E680B"/>
    <w:rsid w:val="000E78CE"/>
    <w:rsid w:val="000E7B3D"/>
    <w:rsid w:val="0010137B"/>
    <w:rsid w:val="00103E3C"/>
    <w:rsid w:val="001063E1"/>
    <w:rsid w:val="00107E38"/>
    <w:rsid w:val="001102E5"/>
    <w:rsid w:val="00123183"/>
    <w:rsid w:val="001277C6"/>
    <w:rsid w:val="0013482A"/>
    <w:rsid w:val="0013756C"/>
    <w:rsid w:val="00143088"/>
    <w:rsid w:val="00153A03"/>
    <w:rsid w:val="0016102A"/>
    <w:rsid w:val="00167A9C"/>
    <w:rsid w:val="00184A10"/>
    <w:rsid w:val="00184D02"/>
    <w:rsid w:val="00186CDE"/>
    <w:rsid w:val="00192C6D"/>
    <w:rsid w:val="00197248"/>
    <w:rsid w:val="00197C21"/>
    <w:rsid w:val="001B0A6F"/>
    <w:rsid w:val="001B2111"/>
    <w:rsid w:val="001B45C0"/>
    <w:rsid w:val="001D03D7"/>
    <w:rsid w:val="001D0E29"/>
    <w:rsid w:val="001D2AA9"/>
    <w:rsid w:val="001D3422"/>
    <w:rsid w:val="001D4018"/>
    <w:rsid w:val="001E16BB"/>
    <w:rsid w:val="001E20C6"/>
    <w:rsid w:val="001E20EE"/>
    <w:rsid w:val="001F46BD"/>
    <w:rsid w:val="00210B58"/>
    <w:rsid w:val="0021125D"/>
    <w:rsid w:val="00242639"/>
    <w:rsid w:val="002461AA"/>
    <w:rsid w:val="00264ABA"/>
    <w:rsid w:val="0026500E"/>
    <w:rsid w:val="00265C68"/>
    <w:rsid w:val="0026721B"/>
    <w:rsid w:val="00272029"/>
    <w:rsid w:val="002727D9"/>
    <w:rsid w:val="00281BB0"/>
    <w:rsid w:val="00283376"/>
    <w:rsid w:val="0028355E"/>
    <w:rsid w:val="00294877"/>
    <w:rsid w:val="002D15C7"/>
    <w:rsid w:val="002D5378"/>
    <w:rsid w:val="002E7081"/>
    <w:rsid w:val="002F12DB"/>
    <w:rsid w:val="002F2590"/>
    <w:rsid w:val="00300F10"/>
    <w:rsid w:val="0030491F"/>
    <w:rsid w:val="0031350C"/>
    <w:rsid w:val="00332095"/>
    <w:rsid w:val="003547B7"/>
    <w:rsid w:val="00361F26"/>
    <w:rsid w:val="00366AE7"/>
    <w:rsid w:val="00370815"/>
    <w:rsid w:val="003E460C"/>
    <w:rsid w:val="003F3E62"/>
    <w:rsid w:val="003F6872"/>
    <w:rsid w:val="003F7AE6"/>
    <w:rsid w:val="004042AA"/>
    <w:rsid w:val="0040596D"/>
    <w:rsid w:val="004135DB"/>
    <w:rsid w:val="004152B8"/>
    <w:rsid w:val="004177C8"/>
    <w:rsid w:val="00422564"/>
    <w:rsid w:val="004232CD"/>
    <w:rsid w:val="0043376C"/>
    <w:rsid w:val="00435237"/>
    <w:rsid w:val="00437F65"/>
    <w:rsid w:val="00444A97"/>
    <w:rsid w:val="00445F76"/>
    <w:rsid w:val="00446D96"/>
    <w:rsid w:val="0045297E"/>
    <w:rsid w:val="00460270"/>
    <w:rsid w:val="0046301C"/>
    <w:rsid w:val="00475ECD"/>
    <w:rsid w:val="00476288"/>
    <w:rsid w:val="00477A87"/>
    <w:rsid w:val="00483AD8"/>
    <w:rsid w:val="00484913"/>
    <w:rsid w:val="004910A8"/>
    <w:rsid w:val="00491193"/>
    <w:rsid w:val="00491C45"/>
    <w:rsid w:val="00493761"/>
    <w:rsid w:val="00495CD3"/>
    <w:rsid w:val="004B445C"/>
    <w:rsid w:val="004B6566"/>
    <w:rsid w:val="004D179C"/>
    <w:rsid w:val="004D4594"/>
    <w:rsid w:val="004E19B2"/>
    <w:rsid w:val="004E3397"/>
    <w:rsid w:val="004F0E85"/>
    <w:rsid w:val="004F6108"/>
    <w:rsid w:val="00501224"/>
    <w:rsid w:val="00505840"/>
    <w:rsid w:val="005265AE"/>
    <w:rsid w:val="00526F53"/>
    <w:rsid w:val="005273B8"/>
    <w:rsid w:val="00535F37"/>
    <w:rsid w:val="00536CE6"/>
    <w:rsid w:val="00537B51"/>
    <w:rsid w:val="00543D41"/>
    <w:rsid w:val="00556A0D"/>
    <w:rsid w:val="00560113"/>
    <w:rsid w:val="00576C90"/>
    <w:rsid w:val="00582310"/>
    <w:rsid w:val="00582BAA"/>
    <w:rsid w:val="005873FE"/>
    <w:rsid w:val="0059694E"/>
    <w:rsid w:val="0059769E"/>
    <w:rsid w:val="005A0FFE"/>
    <w:rsid w:val="005A340B"/>
    <w:rsid w:val="005B125E"/>
    <w:rsid w:val="005B3FC7"/>
    <w:rsid w:val="005C060B"/>
    <w:rsid w:val="005C0A98"/>
    <w:rsid w:val="005C390C"/>
    <w:rsid w:val="005D7909"/>
    <w:rsid w:val="005E24A9"/>
    <w:rsid w:val="005E2F24"/>
    <w:rsid w:val="005E3C70"/>
    <w:rsid w:val="005E7AF0"/>
    <w:rsid w:val="005F6971"/>
    <w:rsid w:val="00601AF6"/>
    <w:rsid w:val="0060253F"/>
    <w:rsid w:val="006025F9"/>
    <w:rsid w:val="00602DFC"/>
    <w:rsid w:val="006060ED"/>
    <w:rsid w:val="006255C2"/>
    <w:rsid w:val="00634403"/>
    <w:rsid w:val="006363D3"/>
    <w:rsid w:val="00637934"/>
    <w:rsid w:val="00643F20"/>
    <w:rsid w:val="006450BE"/>
    <w:rsid w:val="0065519A"/>
    <w:rsid w:val="00656513"/>
    <w:rsid w:val="00670DB4"/>
    <w:rsid w:val="00672917"/>
    <w:rsid w:val="00673DEA"/>
    <w:rsid w:val="006741BD"/>
    <w:rsid w:val="00682867"/>
    <w:rsid w:val="00683D5C"/>
    <w:rsid w:val="00686B52"/>
    <w:rsid w:val="006871C0"/>
    <w:rsid w:val="00697199"/>
    <w:rsid w:val="006A5FB6"/>
    <w:rsid w:val="006B7B27"/>
    <w:rsid w:val="006C3313"/>
    <w:rsid w:val="006C3B1A"/>
    <w:rsid w:val="006C4D7F"/>
    <w:rsid w:val="006C6AED"/>
    <w:rsid w:val="006D4D0B"/>
    <w:rsid w:val="006D549E"/>
    <w:rsid w:val="006D75E5"/>
    <w:rsid w:val="006E2A22"/>
    <w:rsid w:val="006F3245"/>
    <w:rsid w:val="006F3E48"/>
    <w:rsid w:val="006F5F9D"/>
    <w:rsid w:val="00703F0B"/>
    <w:rsid w:val="00714F6D"/>
    <w:rsid w:val="00715671"/>
    <w:rsid w:val="00715FDF"/>
    <w:rsid w:val="00726E8C"/>
    <w:rsid w:val="00727CEE"/>
    <w:rsid w:val="00732B86"/>
    <w:rsid w:val="00742798"/>
    <w:rsid w:val="00743550"/>
    <w:rsid w:val="00744612"/>
    <w:rsid w:val="00755738"/>
    <w:rsid w:val="00757841"/>
    <w:rsid w:val="0076290A"/>
    <w:rsid w:val="00765FFA"/>
    <w:rsid w:val="00770273"/>
    <w:rsid w:val="007729DB"/>
    <w:rsid w:val="0078162F"/>
    <w:rsid w:val="007871DD"/>
    <w:rsid w:val="007965EE"/>
    <w:rsid w:val="007C524E"/>
    <w:rsid w:val="007D4DA8"/>
    <w:rsid w:val="007D7E2F"/>
    <w:rsid w:val="007E09A7"/>
    <w:rsid w:val="007E3AC0"/>
    <w:rsid w:val="007F0956"/>
    <w:rsid w:val="007F12FC"/>
    <w:rsid w:val="00800014"/>
    <w:rsid w:val="008047F8"/>
    <w:rsid w:val="00811A61"/>
    <w:rsid w:val="008148EB"/>
    <w:rsid w:val="00822090"/>
    <w:rsid w:val="00824B34"/>
    <w:rsid w:val="008402C3"/>
    <w:rsid w:val="00856A2C"/>
    <w:rsid w:val="00861DFE"/>
    <w:rsid w:val="00862DAB"/>
    <w:rsid w:val="00865668"/>
    <w:rsid w:val="008726A1"/>
    <w:rsid w:val="00873722"/>
    <w:rsid w:val="00886F9D"/>
    <w:rsid w:val="00890479"/>
    <w:rsid w:val="00892B16"/>
    <w:rsid w:val="008B05EA"/>
    <w:rsid w:val="008B1200"/>
    <w:rsid w:val="008E04E7"/>
    <w:rsid w:val="008E3D0D"/>
    <w:rsid w:val="008E3E79"/>
    <w:rsid w:val="008F1E16"/>
    <w:rsid w:val="008F1F1B"/>
    <w:rsid w:val="00906691"/>
    <w:rsid w:val="009119E4"/>
    <w:rsid w:val="00913816"/>
    <w:rsid w:val="00914DA8"/>
    <w:rsid w:val="00916829"/>
    <w:rsid w:val="00935CDD"/>
    <w:rsid w:val="009433D1"/>
    <w:rsid w:val="0094532D"/>
    <w:rsid w:val="00947016"/>
    <w:rsid w:val="0095238B"/>
    <w:rsid w:val="00952B4B"/>
    <w:rsid w:val="00954A55"/>
    <w:rsid w:val="00954DDE"/>
    <w:rsid w:val="009559D1"/>
    <w:rsid w:val="00972830"/>
    <w:rsid w:val="0097336B"/>
    <w:rsid w:val="00976BB3"/>
    <w:rsid w:val="00983F25"/>
    <w:rsid w:val="00984264"/>
    <w:rsid w:val="00990842"/>
    <w:rsid w:val="00991249"/>
    <w:rsid w:val="009A5D09"/>
    <w:rsid w:val="009A78ED"/>
    <w:rsid w:val="009A7CC2"/>
    <w:rsid w:val="009B56DF"/>
    <w:rsid w:val="009B5CB3"/>
    <w:rsid w:val="009B7D60"/>
    <w:rsid w:val="009C0E8F"/>
    <w:rsid w:val="009C309A"/>
    <w:rsid w:val="009C69AF"/>
    <w:rsid w:val="009C7910"/>
    <w:rsid w:val="009D3B13"/>
    <w:rsid w:val="009D5DFD"/>
    <w:rsid w:val="00A00B7B"/>
    <w:rsid w:val="00A02622"/>
    <w:rsid w:val="00A031CD"/>
    <w:rsid w:val="00A03348"/>
    <w:rsid w:val="00A10473"/>
    <w:rsid w:val="00A31D91"/>
    <w:rsid w:val="00A34CC2"/>
    <w:rsid w:val="00A51E12"/>
    <w:rsid w:val="00A60ED2"/>
    <w:rsid w:val="00A619A5"/>
    <w:rsid w:val="00A62100"/>
    <w:rsid w:val="00A7146D"/>
    <w:rsid w:val="00A74ABD"/>
    <w:rsid w:val="00A81AE1"/>
    <w:rsid w:val="00A952DC"/>
    <w:rsid w:val="00AA0806"/>
    <w:rsid w:val="00AA2ADF"/>
    <w:rsid w:val="00AA595C"/>
    <w:rsid w:val="00AB1348"/>
    <w:rsid w:val="00AB1879"/>
    <w:rsid w:val="00AD13D0"/>
    <w:rsid w:val="00AD2D33"/>
    <w:rsid w:val="00AD5A76"/>
    <w:rsid w:val="00AE4468"/>
    <w:rsid w:val="00AE79F9"/>
    <w:rsid w:val="00AF5EC1"/>
    <w:rsid w:val="00B00A93"/>
    <w:rsid w:val="00B05B7A"/>
    <w:rsid w:val="00B13370"/>
    <w:rsid w:val="00B15389"/>
    <w:rsid w:val="00B24EB3"/>
    <w:rsid w:val="00B25FC6"/>
    <w:rsid w:val="00B27C8E"/>
    <w:rsid w:val="00B303AB"/>
    <w:rsid w:val="00B304F5"/>
    <w:rsid w:val="00B42411"/>
    <w:rsid w:val="00B4638F"/>
    <w:rsid w:val="00B570AA"/>
    <w:rsid w:val="00B65140"/>
    <w:rsid w:val="00B7669F"/>
    <w:rsid w:val="00B943BD"/>
    <w:rsid w:val="00BA6E49"/>
    <w:rsid w:val="00BB46E9"/>
    <w:rsid w:val="00BC0038"/>
    <w:rsid w:val="00BE07A7"/>
    <w:rsid w:val="00BE1AB7"/>
    <w:rsid w:val="00BE38B4"/>
    <w:rsid w:val="00BE7C9F"/>
    <w:rsid w:val="00BF036E"/>
    <w:rsid w:val="00BF7F57"/>
    <w:rsid w:val="00C03B45"/>
    <w:rsid w:val="00C10FB6"/>
    <w:rsid w:val="00C13A5D"/>
    <w:rsid w:val="00C2378F"/>
    <w:rsid w:val="00C244E4"/>
    <w:rsid w:val="00C307D6"/>
    <w:rsid w:val="00C41499"/>
    <w:rsid w:val="00C4234E"/>
    <w:rsid w:val="00C52EE7"/>
    <w:rsid w:val="00C5328E"/>
    <w:rsid w:val="00C61836"/>
    <w:rsid w:val="00C632D2"/>
    <w:rsid w:val="00C669C7"/>
    <w:rsid w:val="00C67B38"/>
    <w:rsid w:val="00C87C81"/>
    <w:rsid w:val="00C95E3F"/>
    <w:rsid w:val="00C963B6"/>
    <w:rsid w:val="00CA2DB1"/>
    <w:rsid w:val="00CA4D63"/>
    <w:rsid w:val="00CA6829"/>
    <w:rsid w:val="00CB0C2D"/>
    <w:rsid w:val="00CB1899"/>
    <w:rsid w:val="00CB4D3E"/>
    <w:rsid w:val="00CC356D"/>
    <w:rsid w:val="00CC4DB2"/>
    <w:rsid w:val="00CC7B41"/>
    <w:rsid w:val="00CD782A"/>
    <w:rsid w:val="00CE4EAA"/>
    <w:rsid w:val="00CE6EC9"/>
    <w:rsid w:val="00CF3FA7"/>
    <w:rsid w:val="00CF6070"/>
    <w:rsid w:val="00D15533"/>
    <w:rsid w:val="00D377F3"/>
    <w:rsid w:val="00D4131F"/>
    <w:rsid w:val="00D510A4"/>
    <w:rsid w:val="00D51497"/>
    <w:rsid w:val="00D53472"/>
    <w:rsid w:val="00D542B7"/>
    <w:rsid w:val="00D6795A"/>
    <w:rsid w:val="00D743D1"/>
    <w:rsid w:val="00D85A7B"/>
    <w:rsid w:val="00D9572C"/>
    <w:rsid w:val="00D96D19"/>
    <w:rsid w:val="00DA0A6D"/>
    <w:rsid w:val="00DA6E45"/>
    <w:rsid w:val="00DB0DB3"/>
    <w:rsid w:val="00DB7A46"/>
    <w:rsid w:val="00DC7E50"/>
    <w:rsid w:val="00DD5D03"/>
    <w:rsid w:val="00DE0321"/>
    <w:rsid w:val="00DE080A"/>
    <w:rsid w:val="00DF005E"/>
    <w:rsid w:val="00DF0FEA"/>
    <w:rsid w:val="00E0136A"/>
    <w:rsid w:val="00E1079A"/>
    <w:rsid w:val="00E155F7"/>
    <w:rsid w:val="00E200A0"/>
    <w:rsid w:val="00E25132"/>
    <w:rsid w:val="00E252F2"/>
    <w:rsid w:val="00E33B14"/>
    <w:rsid w:val="00E342DC"/>
    <w:rsid w:val="00E3533C"/>
    <w:rsid w:val="00E42D10"/>
    <w:rsid w:val="00E4566A"/>
    <w:rsid w:val="00E5006A"/>
    <w:rsid w:val="00E51114"/>
    <w:rsid w:val="00E51FCC"/>
    <w:rsid w:val="00E70171"/>
    <w:rsid w:val="00E73A9B"/>
    <w:rsid w:val="00E95E09"/>
    <w:rsid w:val="00E969B8"/>
    <w:rsid w:val="00E97285"/>
    <w:rsid w:val="00EA2A0E"/>
    <w:rsid w:val="00EB4774"/>
    <w:rsid w:val="00ED1412"/>
    <w:rsid w:val="00ED7398"/>
    <w:rsid w:val="00F12966"/>
    <w:rsid w:val="00F143DF"/>
    <w:rsid w:val="00F23801"/>
    <w:rsid w:val="00F35519"/>
    <w:rsid w:val="00F3573A"/>
    <w:rsid w:val="00F35F8C"/>
    <w:rsid w:val="00F41E83"/>
    <w:rsid w:val="00F43457"/>
    <w:rsid w:val="00F46D62"/>
    <w:rsid w:val="00F52841"/>
    <w:rsid w:val="00F55E96"/>
    <w:rsid w:val="00F61C4C"/>
    <w:rsid w:val="00F657F6"/>
    <w:rsid w:val="00F8073D"/>
    <w:rsid w:val="00F80F17"/>
    <w:rsid w:val="00F872A5"/>
    <w:rsid w:val="00F9252D"/>
    <w:rsid w:val="00F955F0"/>
    <w:rsid w:val="00FA3041"/>
    <w:rsid w:val="00FA3127"/>
    <w:rsid w:val="00FB336A"/>
    <w:rsid w:val="00FB3A8E"/>
    <w:rsid w:val="00FB3B2F"/>
    <w:rsid w:val="00FB7DD7"/>
    <w:rsid w:val="00FC0A3D"/>
    <w:rsid w:val="00FC0BC1"/>
    <w:rsid w:val="00FC299B"/>
    <w:rsid w:val="00FD274D"/>
    <w:rsid w:val="00FD6D05"/>
    <w:rsid w:val="00FE7229"/>
    <w:rsid w:val="00FF5388"/>
    <w:rsid w:val="00FF665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C314F"/>
  <w15:docId w15:val="{936392E4-AE21-42E8-89EA-CF54C35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03"/>
    <w:rPr>
      <w:sz w:val="20"/>
      <w:szCs w:val="20"/>
    </w:rPr>
  </w:style>
  <w:style w:type="paragraph" w:styleId="1">
    <w:name w:val="heading 1"/>
    <w:basedOn w:val="a"/>
    <w:next w:val="a"/>
    <w:link w:val="10"/>
    <w:uiPriority w:val="99"/>
    <w:qFormat/>
    <w:rsid w:val="00153A03"/>
    <w:pPr>
      <w:keepNext/>
      <w:ind w:right="-142"/>
      <w:jc w:val="center"/>
      <w:outlineLvl w:val="0"/>
    </w:pPr>
    <w:rPr>
      <w:b/>
      <w:sz w:val="24"/>
      <w:szCs w:val="24"/>
    </w:rPr>
  </w:style>
  <w:style w:type="paragraph" w:styleId="2">
    <w:name w:val="heading 2"/>
    <w:basedOn w:val="a"/>
    <w:next w:val="a"/>
    <w:link w:val="20"/>
    <w:uiPriority w:val="99"/>
    <w:qFormat/>
    <w:rsid w:val="00153A03"/>
    <w:pPr>
      <w:keepNext/>
      <w:ind w:right="-142"/>
      <w:jc w:val="center"/>
      <w:outlineLvl w:val="1"/>
    </w:pPr>
    <w:rPr>
      <w:rFonts w:ascii="Arial"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AE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66AE7"/>
    <w:rPr>
      <w:rFonts w:ascii="Cambria" w:hAnsi="Cambria" w:cs="Times New Roman"/>
      <w:b/>
      <w:bCs/>
      <w:i/>
      <w:iCs/>
      <w:sz w:val="28"/>
      <w:szCs w:val="28"/>
    </w:rPr>
  </w:style>
  <w:style w:type="paragraph" w:customStyle="1" w:styleId="11">
    <w:name w:val="Обычный1"/>
    <w:uiPriority w:val="99"/>
    <w:rsid w:val="00153A03"/>
    <w:rPr>
      <w:sz w:val="20"/>
      <w:szCs w:val="20"/>
    </w:rPr>
  </w:style>
  <w:style w:type="character" w:customStyle="1" w:styleId="12">
    <w:name w:val="Номер страницы1"/>
    <w:basedOn w:val="a0"/>
    <w:uiPriority w:val="99"/>
    <w:rsid w:val="00153A03"/>
    <w:rPr>
      <w:rFonts w:cs="Times New Roman"/>
    </w:rPr>
  </w:style>
  <w:style w:type="paragraph" w:customStyle="1" w:styleId="13">
    <w:name w:val="Нижний колонтитул1"/>
    <w:basedOn w:val="11"/>
    <w:uiPriority w:val="99"/>
    <w:rsid w:val="00153A03"/>
    <w:pPr>
      <w:tabs>
        <w:tab w:val="center" w:pos="4153"/>
        <w:tab w:val="right" w:pos="8306"/>
      </w:tabs>
    </w:pPr>
  </w:style>
  <w:style w:type="paragraph" w:styleId="a3">
    <w:name w:val="header"/>
    <w:basedOn w:val="a"/>
    <w:link w:val="a4"/>
    <w:uiPriority w:val="99"/>
    <w:rsid w:val="00670DB4"/>
    <w:pPr>
      <w:tabs>
        <w:tab w:val="center" w:pos="4677"/>
        <w:tab w:val="right" w:pos="9355"/>
      </w:tabs>
    </w:pPr>
  </w:style>
  <w:style w:type="character" w:customStyle="1" w:styleId="a4">
    <w:name w:val="Верхний колонтитул Знак"/>
    <w:basedOn w:val="a0"/>
    <w:link w:val="a3"/>
    <w:uiPriority w:val="99"/>
    <w:semiHidden/>
    <w:locked/>
    <w:rsid w:val="00366AE7"/>
    <w:rPr>
      <w:rFonts w:cs="Times New Roman"/>
      <w:sz w:val="20"/>
      <w:szCs w:val="20"/>
    </w:rPr>
  </w:style>
  <w:style w:type="paragraph" w:styleId="a5">
    <w:name w:val="footer"/>
    <w:basedOn w:val="a"/>
    <w:link w:val="a6"/>
    <w:uiPriority w:val="99"/>
    <w:rsid w:val="00670DB4"/>
    <w:pPr>
      <w:tabs>
        <w:tab w:val="center" w:pos="4677"/>
        <w:tab w:val="right" w:pos="9355"/>
      </w:tabs>
    </w:pPr>
  </w:style>
  <w:style w:type="character" w:customStyle="1" w:styleId="a6">
    <w:name w:val="Нижний колонтитул Знак"/>
    <w:basedOn w:val="a0"/>
    <w:link w:val="a5"/>
    <w:uiPriority w:val="99"/>
    <w:semiHidden/>
    <w:locked/>
    <w:rsid w:val="00366AE7"/>
    <w:rPr>
      <w:rFonts w:cs="Times New Roman"/>
      <w:sz w:val="20"/>
      <w:szCs w:val="20"/>
    </w:rPr>
  </w:style>
  <w:style w:type="paragraph" w:styleId="a7">
    <w:name w:val="No Spacing"/>
    <w:uiPriority w:val="99"/>
    <w:qFormat/>
    <w:rsid w:val="009559D1"/>
    <w:rPr>
      <w:rFonts w:ascii="Calibri" w:hAnsi="Calibri"/>
      <w:lang w:eastAsia="en-US"/>
    </w:rPr>
  </w:style>
  <w:style w:type="paragraph" w:customStyle="1" w:styleId="Normal2">
    <w:name w:val="Normal2"/>
    <w:uiPriority w:val="99"/>
    <w:rsid w:val="00682867"/>
    <w:rPr>
      <w:sz w:val="20"/>
      <w:szCs w:val="20"/>
      <w:lang w:eastAsia="en-US"/>
    </w:rPr>
  </w:style>
  <w:style w:type="paragraph" w:customStyle="1" w:styleId="110">
    <w:name w:val="Обычный11"/>
    <w:uiPriority w:val="99"/>
    <w:rsid w:val="006A5FB6"/>
    <w:pPr>
      <w:snapToGrid w:val="0"/>
    </w:pPr>
    <w:rPr>
      <w:sz w:val="20"/>
      <w:szCs w:val="20"/>
    </w:rPr>
  </w:style>
  <w:style w:type="character" w:styleId="a8">
    <w:name w:val="Hyperlink"/>
    <w:basedOn w:val="a0"/>
    <w:uiPriority w:val="99"/>
    <w:rsid w:val="00686B52"/>
    <w:rPr>
      <w:rFonts w:cs="Times New Roman"/>
      <w:color w:val="0000FF"/>
      <w:u w:val="single"/>
    </w:rPr>
  </w:style>
  <w:style w:type="table" w:styleId="a9">
    <w:name w:val="Table Grid"/>
    <w:basedOn w:val="a1"/>
    <w:uiPriority w:val="99"/>
    <w:rsid w:val="005E7A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76BB3"/>
    <w:rPr>
      <w:rFonts w:ascii="Tahoma" w:hAnsi="Tahoma" w:cs="Tahoma"/>
      <w:sz w:val="16"/>
      <w:szCs w:val="16"/>
    </w:rPr>
  </w:style>
  <w:style w:type="character" w:customStyle="1" w:styleId="ab">
    <w:name w:val="Текст выноски Знак"/>
    <w:basedOn w:val="a0"/>
    <w:link w:val="aa"/>
    <w:uiPriority w:val="99"/>
    <w:semiHidden/>
    <w:locked/>
    <w:rsid w:val="00366AE7"/>
    <w:rPr>
      <w:rFonts w:cs="Times New Roman"/>
      <w:sz w:val="2"/>
    </w:rPr>
  </w:style>
  <w:style w:type="paragraph" w:styleId="ac">
    <w:name w:val="Revision"/>
    <w:hidden/>
    <w:uiPriority w:val="99"/>
    <w:semiHidden/>
    <w:rsid w:val="00000A05"/>
    <w:rPr>
      <w:sz w:val="20"/>
      <w:szCs w:val="20"/>
    </w:rPr>
  </w:style>
  <w:style w:type="character" w:styleId="ad">
    <w:name w:val="annotation reference"/>
    <w:basedOn w:val="a0"/>
    <w:uiPriority w:val="99"/>
    <w:rsid w:val="00000A05"/>
    <w:rPr>
      <w:rFonts w:cs="Times New Roman"/>
      <w:sz w:val="16"/>
    </w:rPr>
  </w:style>
  <w:style w:type="paragraph" w:styleId="ae">
    <w:name w:val="annotation text"/>
    <w:basedOn w:val="a"/>
    <w:link w:val="af"/>
    <w:uiPriority w:val="99"/>
    <w:rsid w:val="00000A05"/>
  </w:style>
  <w:style w:type="character" w:customStyle="1" w:styleId="af">
    <w:name w:val="Текст примечания Знак"/>
    <w:basedOn w:val="a0"/>
    <w:link w:val="ae"/>
    <w:uiPriority w:val="99"/>
    <w:locked/>
    <w:rsid w:val="00000A05"/>
    <w:rPr>
      <w:rFonts w:cs="Times New Roman"/>
    </w:rPr>
  </w:style>
  <w:style w:type="paragraph" w:styleId="af0">
    <w:name w:val="annotation subject"/>
    <w:basedOn w:val="ae"/>
    <w:next w:val="ae"/>
    <w:link w:val="af1"/>
    <w:uiPriority w:val="99"/>
    <w:rsid w:val="00000A05"/>
    <w:rPr>
      <w:b/>
      <w:bCs/>
      <w:lang w:eastAsia="ja-JP"/>
    </w:rPr>
  </w:style>
  <w:style w:type="character" w:customStyle="1" w:styleId="af1">
    <w:name w:val="Тема примечания Знак"/>
    <w:basedOn w:val="af"/>
    <w:link w:val="af0"/>
    <w:uiPriority w:val="99"/>
    <w:locked/>
    <w:rsid w:val="00000A05"/>
    <w:rPr>
      <w:rFonts w:cs="Times New Roman"/>
      <w:b/>
    </w:rPr>
  </w:style>
  <w:style w:type="character" w:customStyle="1" w:styleId="apple-converted-space">
    <w:name w:val="apple-converted-space"/>
    <w:basedOn w:val="a0"/>
    <w:uiPriority w:val="99"/>
    <w:rsid w:val="004135DB"/>
    <w:rPr>
      <w:rFonts w:cs="Times New Roman"/>
    </w:rPr>
  </w:style>
  <w:style w:type="paragraph" w:styleId="af2">
    <w:name w:val="Normal (Web)"/>
    <w:basedOn w:val="a"/>
    <w:uiPriority w:val="99"/>
    <w:rsid w:val="004135DB"/>
    <w:pPr>
      <w:spacing w:before="100" w:beforeAutospacing="1" w:after="100" w:afterAutospacing="1"/>
    </w:pPr>
    <w:rPr>
      <w:rFonts w:eastAsia="MS Mincho"/>
      <w:sz w:val="24"/>
      <w:szCs w:val="24"/>
      <w:lang w:eastAsia="ja-JP"/>
    </w:rPr>
  </w:style>
  <w:style w:type="paragraph" w:styleId="af3">
    <w:name w:val="Body Text"/>
    <w:basedOn w:val="a"/>
    <w:link w:val="af4"/>
    <w:uiPriority w:val="99"/>
    <w:rsid w:val="00862DAB"/>
    <w:pPr>
      <w:spacing w:after="120"/>
    </w:pPr>
    <w:rPr>
      <w:sz w:val="24"/>
      <w:szCs w:val="24"/>
      <w:lang w:eastAsia="ja-JP"/>
    </w:rPr>
  </w:style>
  <w:style w:type="character" w:customStyle="1" w:styleId="af4">
    <w:name w:val="Основной текст Знак"/>
    <w:basedOn w:val="a0"/>
    <w:link w:val="af3"/>
    <w:uiPriority w:val="99"/>
    <w:locked/>
    <w:rsid w:val="00862DAB"/>
    <w:rPr>
      <w:rFonts w:cs="Times New Roman"/>
      <w:sz w:val="24"/>
      <w:szCs w:val="24"/>
      <w:lang w:val="ru-RU" w:eastAsia="ja-JP" w:bidi="ar-SA"/>
    </w:rPr>
  </w:style>
  <w:style w:type="paragraph" w:customStyle="1" w:styleId="21">
    <w:name w:val="Обычный2"/>
    <w:uiPriority w:val="99"/>
    <w:rsid w:val="00A31D91"/>
    <w:rPr>
      <w:sz w:val="20"/>
      <w:szCs w:val="20"/>
    </w:rPr>
  </w:style>
  <w:style w:type="character" w:styleId="af5">
    <w:name w:val="Subtle Emphasis"/>
    <w:basedOn w:val="a0"/>
    <w:uiPriority w:val="19"/>
    <w:qFormat/>
    <w:rsid w:val="001102E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Hewlett-Packard</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Иванова</dc:creator>
  <cp:lastModifiedBy>Svetlana Galchenkova</cp:lastModifiedBy>
  <cp:revision>9</cp:revision>
  <cp:lastPrinted>2017-05-19T06:26:00Z</cp:lastPrinted>
  <dcterms:created xsi:type="dcterms:W3CDTF">2020-07-19T10:39:00Z</dcterms:created>
  <dcterms:modified xsi:type="dcterms:W3CDTF">2020-10-22T08:44:00Z</dcterms:modified>
</cp:coreProperties>
</file>