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059" w:rsidRPr="00A27B3D" w:rsidRDefault="00952059" w:rsidP="004E629B">
      <w:pPr>
        <w:pStyle w:val="2"/>
        <w:spacing w:line="360" w:lineRule="auto"/>
        <w:ind w:right="137"/>
        <w:rPr>
          <w:rFonts w:ascii="Times New Roman" w:hAnsi="Times New Roman"/>
          <w:sz w:val="24"/>
        </w:rPr>
      </w:pPr>
    </w:p>
    <w:p w:rsidR="004E629B" w:rsidRPr="004E629B" w:rsidRDefault="004E629B" w:rsidP="004E629B">
      <w:pPr>
        <w:pStyle w:val="2"/>
        <w:spacing w:line="360" w:lineRule="auto"/>
        <w:ind w:right="137"/>
        <w:rPr>
          <w:rFonts w:ascii="Times New Roman" w:hAnsi="Times New Roman"/>
          <w:i w:val="0"/>
          <w:sz w:val="24"/>
        </w:rPr>
      </w:pPr>
      <w:r w:rsidRPr="004E629B">
        <w:rPr>
          <w:rFonts w:ascii="Times New Roman" w:hAnsi="Times New Roman"/>
          <w:i w:val="0"/>
          <w:sz w:val="24"/>
        </w:rPr>
        <w:t>THE MINISTRY OF HEALTH OF THE RUSSIAN FEDERATION</w:t>
      </w:r>
    </w:p>
    <w:p w:rsidR="004E629B" w:rsidRPr="004E629B" w:rsidRDefault="004E629B" w:rsidP="004E629B">
      <w:pPr>
        <w:pStyle w:val="2"/>
        <w:spacing w:line="360" w:lineRule="auto"/>
        <w:ind w:right="137"/>
        <w:rPr>
          <w:rFonts w:ascii="Times New Roman" w:hAnsi="Times New Roman"/>
          <w:i w:val="0"/>
          <w:sz w:val="24"/>
        </w:rPr>
      </w:pPr>
      <w:r w:rsidRPr="004E629B">
        <w:rPr>
          <w:rFonts w:ascii="Times New Roman" w:hAnsi="Times New Roman"/>
          <w:i w:val="0"/>
          <w:sz w:val="24"/>
        </w:rPr>
        <w:t>PATIENT INFORMATION LEAFLET</w:t>
      </w:r>
    </w:p>
    <w:p w:rsidR="004E629B" w:rsidRPr="004E629B" w:rsidRDefault="004E629B" w:rsidP="004E629B">
      <w:pPr>
        <w:pStyle w:val="2"/>
        <w:spacing w:line="360" w:lineRule="auto"/>
        <w:ind w:right="137"/>
        <w:rPr>
          <w:rFonts w:ascii="Times New Roman" w:hAnsi="Times New Roman"/>
          <w:i w:val="0"/>
          <w:sz w:val="24"/>
        </w:rPr>
      </w:pPr>
      <w:r w:rsidRPr="004E629B">
        <w:rPr>
          <w:rFonts w:ascii="Times New Roman" w:hAnsi="Times New Roman"/>
          <w:i w:val="0"/>
          <w:sz w:val="24"/>
        </w:rPr>
        <w:t>FOR THE DRUG PRODUCT</w:t>
      </w:r>
    </w:p>
    <w:p w:rsidR="004E629B" w:rsidRDefault="004E629B" w:rsidP="004E629B">
      <w:pPr>
        <w:pStyle w:val="2"/>
        <w:spacing w:line="360" w:lineRule="auto"/>
        <w:ind w:right="137"/>
        <w:rPr>
          <w:rFonts w:ascii="Times New Roman" w:hAnsi="Times New Roman"/>
          <w:i w:val="0"/>
          <w:sz w:val="24"/>
        </w:rPr>
      </w:pPr>
      <w:r w:rsidRPr="004E629B">
        <w:rPr>
          <w:rFonts w:ascii="Times New Roman" w:hAnsi="Times New Roman"/>
          <w:i w:val="0"/>
          <w:sz w:val="24"/>
        </w:rPr>
        <w:t>POLYOXIDONIUM®</w:t>
      </w:r>
    </w:p>
    <w:p w:rsidR="00952059" w:rsidRDefault="00952059" w:rsidP="005E7AF0">
      <w:pPr>
        <w:pStyle w:val="11"/>
        <w:spacing w:line="360" w:lineRule="auto"/>
        <w:ind w:right="-142"/>
        <w:rPr>
          <w:b/>
          <w:sz w:val="24"/>
          <w:szCs w:val="24"/>
        </w:rPr>
      </w:pPr>
    </w:p>
    <w:p w:rsidR="00952059" w:rsidRPr="00DF3E5C" w:rsidRDefault="00952059" w:rsidP="009E720B">
      <w:pPr>
        <w:pStyle w:val="11"/>
        <w:spacing w:line="360" w:lineRule="auto"/>
        <w:rPr>
          <w:color w:val="000000"/>
          <w:sz w:val="28"/>
          <w:szCs w:val="28"/>
        </w:rPr>
      </w:pPr>
      <w:r>
        <w:rPr>
          <w:b/>
          <w:color w:val="000000"/>
          <w:sz w:val="28"/>
          <w:szCs w:val="28"/>
        </w:rPr>
        <w:t>Registration number:</w:t>
      </w:r>
      <w:r>
        <w:rPr>
          <w:color w:val="000000"/>
          <w:sz w:val="28"/>
          <w:szCs w:val="28"/>
        </w:rPr>
        <w:t xml:space="preserve"> </w:t>
      </w:r>
    </w:p>
    <w:p w:rsidR="00952059" w:rsidRPr="00DF3E5C" w:rsidRDefault="00952059" w:rsidP="00082D32">
      <w:pPr>
        <w:pStyle w:val="11"/>
        <w:spacing w:line="360" w:lineRule="auto"/>
        <w:rPr>
          <w:color w:val="000000"/>
          <w:sz w:val="28"/>
          <w:szCs w:val="28"/>
        </w:rPr>
      </w:pPr>
      <w:r>
        <w:rPr>
          <w:b/>
          <w:color w:val="000000"/>
          <w:sz w:val="28"/>
          <w:szCs w:val="28"/>
        </w:rPr>
        <w:t xml:space="preserve">Trade name: </w:t>
      </w:r>
      <w:r>
        <w:rPr>
          <w:color w:val="000000"/>
          <w:sz w:val="28"/>
          <w:szCs w:val="28"/>
        </w:rPr>
        <w:t>Polyoxidonium</w:t>
      </w:r>
      <w:r>
        <w:rPr>
          <w:color w:val="000000"/>
          <w:sz w:val="28"/>
          <w:szCs w:val="28"/>
          <w:vertAlign w:val="superscript"/>
        </w:rPr>
        <w:t>®</w:t>
      </w:r>
      <w:r>
        <w:rPr>
          <w:color w:val="000000"/>
          <w:sz w:val="28"/>
          <w:szCs w:val="28"/>
        </w:rPr>
        <w:t xml:space="preserve"> </w:t>
      </w:r>
    </w:p>
    <w:p w:rsidR="00952059" w:rsidRPr="00DF3E5C" w:rsidRDefault="00952059" w:rsidP="00082D32">
      <w:pPr>
        <w:pStyle w:val="11"/>
        <w:spacing w:line="360" w:lineRule="auto"/>
        <w:jc w:val="both"/>
        <w:rPr>
          <w:b/>
          <w:color w:val="000000"/>
          <w:sz w:val="28"/>
          <w:szCs w:val="28"/>
        </w:rPr>
      </w:pPr>
      <w:r>
        <w:rPr>
          <w:b/>
          <w:color w:val="000000"/>
          <w:sz w:val="28"/>
          <w:szCs w:val="28"/>
        </w:rPr>
        <w:t xml:space="preserve">International non-proprietary name: </w:t>
      </w:r>
      <w:r>
        <w:rPr>
          <w:sz w:val="28"/>
          <w:szCs w:val="28"/>
        </w:rPr>
        <w:t>Azoximer bromide (Azoximeri bromidum)</w:t>
      </w:r>
    </w:p>
    <w:p w:rsidR="00952059" w:rsidRPr="00DF3E5C" w:rsidRDefault="00952059" w:rsidP="00082D32">
      <w:pPr>
        <w:pStyle w:val="11"/>
        <w:spacing w:line="360" w:lineRule="auto"/>
        <w:rPr>
          <w:b/>
          <w:color w:val="000000"/>
          <w:sz w:val="28"/>
          <w:szCs w:val="28"/>
        </w:rPr>
      </w:pPr>
      <w:r>
        <w:rPr>
          <w:b/>
          <w:bCs/>
          <w:color w:val="000000"/>
          <w:sz w:val="28"/>
          <w:szCs w:val="28"/>
        </w:rPr>
        <w:t>Chemical name:</w:t>
      </w:r>
      <w:r>
        <w:rPr>
          <w:color w:val="000000"/>
          <w:sz w:val="28"/>
          <w:szCs w:val="28"/>
        </w:rPr>
        <w:t xml:space="preserve"> copolymer of 1,4-ethylene piperazine N-oxide and (N-carboxymethyl)-1,4-ethylene piperazinium bromide</w:t>
      </w:r>
    </w:p>
    <w:p w:rsidR="00952059" w:rsidRPr="00DF3E5C" w:rsidRDefault="00952059" w:rsidP="009E720B">
      <w:pPr>
        <w:pStyle w:val="11"/>
        <w:spacing w:line="360" w:lineRule="auto"/>
        <w:jc w:val="both"/>
        <w:rPr>
          <w:color w:val="000000"/>
          <w:sz w:val="28"/>
          <w:szCs w:val="28"/>
        </w:rPr>
      </w:pPr>
      <w:r>
        <w:rPr>
          <w:b/>
          <w:bCs/>
          <w:color w:val="000000"/>
          <w:sz w:val="28"/>
          <w:szCs w:val="28"/>
        </w:rPr>
        <w:t>Form of medicine:</w:t>
      </w:r>
      <w:r>
        <w:rPr>
          <w:color w:val="000000"/>
          <w:sz w:val="28"/>
          <w:szCs w:val="28"/>
        </w:rPr>
        <w:t xml:space="preserve"> solution for injections and topical application</w:t>
      </w:r>
    </w:p>
    <w:p w:rsidR="00952059" w:rsidRPr="00DF3E5C" w:rsidRDefault="00422356" w:rsidP="00082D32">
      <w:pPr>
        <w:widowControl w:val="0"/>
        <w:spacing w:line="360" w:lineRule="auto"/>
        <w:jc w:val="both"/>
        <w:rPr>
          <w:b/>
          <w:color w:val="000000"/>
          <w:sz w:val="28"/>
          <w:szCs w:val="28"/>
        </w:rPr>
      </w:pPr>
      <w:r>
        <w:rPr>
          <w:b/>
          <w:color w:val="000000"/>
          <w:sz w:val="28"/>
          <w:szCs w:val="28"/>
        </w:rPr>
        <w:t>Each 1 mL contains:</w:t>
      </w:r>
    </w:p>
    <w:p w:rsidR="00952059" w:rsidRPr="00DF3E5C" w:rsidRDefault="00952059" w:rsidP="00082D32">
      <w:pPr>
        <w:tabs>
          <w:tab w:val="left" w:pos="2977"/>
        </w:tabs>
        <w:spacing w:line="360" w:lineRule="auto"/>
        <w:rPr>
          <w:sz w:val="28"/>
          <w:szCs w:val="28"/>
        </w:rPr>
      </w:pPr>
      <w:r>
        <w:rPr>
          <w:i/>
          <w:sz w:val="28"/>
          <w:szCs w:val="28"/>
        </w:rPr>
        <w:t xml:space="preserve">Active substance: </w:t>
      </w:r>
      <w:r>
        <w:rPr>
          <w:sz w:val="28"/>
          <w:szCs w:val="28"/>
        </w:rPr>
        <w:t xml:space="preserve"> Azoximer bromide – 3 mg or 6 mg;</w:t>
      </w:r>
    </w:p>
    <w:p w:rsidR="00952059" w:rsidRPr="00DF3E5C" w:rsidRDefault="00952059" w:rsidP="00082D32">
      <w:pPr>
        <w:spacing w:line="360" w:lineRule="auto"/>
        <w:jc w:val="both"/>
        <w:rPr>
          <w:i/>
          <w:sz w:val="28"/>
          <w:szCs w:val="28"/>
        </w:rPr>
      </w:pPr>
      <w:r>
        <w:rPr>
          <w:i/>
          <w:sz w:val="28"/>
          <w:szCs w:val="28"/>
        </w:rPr>
        <w:t xml:space="preserve">Excipients: </w:t>
      </w:r>
    </w:p>
    <w:p w:rsidR="00952059" w:rsidRPr="00DF3E5C" w:rsidRDefault="00952059" w:rsidP="00D4497F">
      <w:pPr>
        <w:pStyle w:val="af5"/>
        <w:spacing w:line="360" w:lineRule="auto"/>
        <w:ind w:left="0"/>
        <w:jc w:val="both"/>
        <w:rPr>
          <w:sz w:val="28"/>
          <w:szCs w:val="28"/>
        </w:rPr>
      </w:pPr>
      <w:r>
        <w:rPr>
          <w:sz w:val="28"/>
          <w:szCs w:val="28"/>
        </w:rPr>
        <w:t>mannitol – 0.9 mg, povidone K17 – 0.6 mg (for 3 mg dosage),</w:t>
      </w:r>
    </w:p>
    <w:p w:rsidR="00952059" w:rsidRPr="00DF3E5C" w:rsidRDefault="00952059" w:rsidP="00432962">
      <w:pPr>
        <w:spacing w:line="360" w:lineRule="auto"/>
        <w:jc w:val="both"/>
        <w:rPr>
          <w:sz w:val="28"/>
          <w:szCs w:val="28"/>
        </w:rPr>
      </w:pPr>
      <w:r>
        <w:rPr>
          <w:sz w:val="28"/>
          <w:szCs w:val="28"/>
        </w:rPr>
        <w:t>water for injection – up to 1.0 mL.</w:t>
      </w:r>
    </w:p>
    <w:p w:rsidR="00952059" w:rsidRPr="00DF3E5C" w:rsidRDefault="00952059" w:rsidP="00D4497F">
      <w:pPr>
        <w:pStyle w:val="af5"/>
        <w:spacing w:line="360" w:lineRule="auto"/>
        <w:ind w:left="0"/>
        <w:jc w:val="both"/>
        <w:rPr>
          <w:sz w:val="28"/>
          <w:szCs w:val="28"/>
        </w:rPr>
      </w:pPr>
      <w:r>
        <w:rPr>
          <w:sz w:val="28"/>
          <w:szCs w:val="28"/>
        </w:rPr>
        <w:t>mannitol – 1.8 mg, povidone K17 – 1.2 mg (for 6 mg dosage),</w:t>
      </w:r>
    </w:p>
    <w:p w:rsidR="00952059" w:rsidRPr="00DF3E5C" w:rsidRDefault="00952059" w:rsidP="00432962">
      <w:pPr>
        <w:spacing w:line="360" w:lineRule="auto"/>
        <w:jc w:val="both"/>
        <w:rPr>
          <w:sz w:val="28"/>
          <w:szCs w:val="28"/>
        </w:rPr>
      </w:pPr>
      <w:r>
        <w:rPr>
          <w:sz w:val="28"/>
          <w:szCs w:val="28"/>
        </w:rPr>
        <w:t>water for injection – up to 1.0 mL.</w:t>
      </w:r>
    </w:p>
    <w:p w:rsidR="00952059" w:rsidRPr="00DF3E5C" w:rsidRDefault="00952059" w:rsidP="00AF5130">
      <w:pPr>
        <w:pStyle w:val="11"/>
        <w:spacing w:line="360" w:lineRule="auto"/>
        <w:jc w:val="both"/>
        <w:rPr>
          <w:color w:val="000000"/>
          <w:sz w:val="28"/>
          <w:szCs w:val="28"/>
        </w:rPr>
      </w:pPr>
      <w:r>
        <w:rPr>
          <w:b/>
          <w:bCs/>
          <w:sz w:val="28"/>
          <w:szCs w:val="28"/>
        </w:rPr>
        <w:t>Description:</w:t>
      </w:r>
      <w:r>
        <w:rPr>
          <w:sz w:val="28"/>
          <w:szCs w:val="28"/>
        </w:rPr>
        <w:t xml:space="preserve"> colorless or yellowish liquid</w:t>
      </w:r>
      <w:r>
        <w:rPr>
          <w:color w:val="000000"/>
          <w:sz w:val="28"/>
          <w:szCs w:val="28"/>
        </w:rPr>
        <w:t xml:space="preserve">  </w:t>
      </w:r>
    </w:p>
    <w:p w:rsidR="00952059" w:rsidRPr="00DF3E5C" w:rsidRDefault="00952059" w:rsidP="00082D32">
      <w:pPr>
        <w:pStyle w:val="11"/>
        <w:spacing w:line="360" w:lineRule="auto"/>
        <w:rPr>
          <w:color w:val="000000"/>
          <w:sz w:val="28"/>
          <w:szCs w:val="28"/>
        </w:rPr>
      </w:pPr>
      <w:r>
        <w:rPr>
          <w:b/>
          <w:bCs/>
          <w:color w:val="000000"/>
          <w:sz w:val="28"/>
          <w:szCs w:val="28"/>
        </w:rPr>
        <w:t>Pharmacotherapeutic group:</w:t>
      </w:r>
      <w:r>
        <w:rPr>
          <w:color w:val="000000"/>
          <w:sz w:val="28"/>
          <w:szCs w:val="28"/>
        </w:rPr>
        <w:t xml:space="preserve"> immune-modulating drug</w:t>
      </w:r>
    </w:p>
    <w:p w:rsidR="00952059" w:rsidRPr="00DF3E5C" w:rsidRDefault="00952059" w:rsidP="00082D32">
      <w:pPr>
        <w:pStyle w:val="11"/>
        <w:spacing w:line="360" w:lineRule="auto"/>
        <w:rPr>
          <w:color w:val="000000"/>
          <w:sz w:val="28"/>
          <w:szCs w:val="28"/>
        </w:rPr>
      </w:pPr>
      <w:r>
        <w:rPr>
          <w:b/>
          <w:color w:val="000000"/>
          <w:sz w:val="28"/>
          <w:szCs w:val="28"/>
        </w:rPr>
        <w:t xml:space="preserve">ATC code: </w:t>
      </w:r>
      <w:r>
        <w:rPr>
          <w:color w:val="000000"/>
          <w:sz w:val="28"/>
          <w:szCs w:val="28"/>
        </w:rPr>
        <w:t>[L03]</w:t>
      </w:r>
    </w:p>
    <w:p w:rsidR="00952059" w:rsidRPr="00DF3E5C" w:rsidRDefault="00952059" w:rsidP="00082D32">
      <w:pPr>
        <w:spacing w:before="120" w:line="360" w:lineRule="auto"/>
        <w:rPr>
          <w:b/>
          <w:sz w:val="28"/>
          <w:szCs w:val="28"/>
        </w:rPr>
      </w:pPr>
      <w:r>
        <w:rPr>
          <w:b/>
          <w:sz w:val="28"/>
          <w:szCs w:val="28"/>
        </w:rPr>
        <w:t>Pharmacological properties</w:t>
      </w:r>
    </w:p>
    <w:p w:rsidR="00952059" w:rsidRPr="00DF3E5C" w:rsidRDefault="00952059" w:rsidP="00082D32">
      <w:pPr>
        <w:spacing w:line="360" w:lineRule="auto"/>
        <w:rPr>
          <w:b/>
          <w:sz w:val="28"/>
          <w:szCs w:val="28"/>
        </w:rPr>
      </w:pPr>
      <w:r>
        <w:rPr>
          <w:b/>
          <w:sz w:val="28"/>
          <w:szCs w:val="28"/>
        </w:rPr>
        <w:t xml:space="preserve">Pharmacodynamics </w:t>
      </w:r>
    </w:p>
    <w:p w:rsidR="00952059" w:rsidRPr="00DF3E5C" w:rsidRDefault="00952059" w:rsidP="00082D32">
      <w:pPr>
        <w:pStyle w:val="11"/>
        <w:spacing w:line="360" w:lineRule="auto"/>
        <w:jc w:val="both"/>
        <w:rPr>
          <w:color w:val="000000"/>
          <w:sz w:val="28"/>
          <w:szCs w:val="28"/>
        </w:rPr>
      </w:pPr>
      <w:r>
        <w:rPr>
          <w:color w:val="000000"/>
          <w:sz w:val="28"/>
          <w:szCs w:val="28"/>
        </w:rPr>
        <w:t xml:space="preserve">Azoximer bromide has combined immune-modulating, detoxifying, antioxidant, and moderate anti-inflammatory effects. </w:t>
      </w:r>
    </w:p>
    <w:p w:rsidR="00952059" w:rsidRPr="00DF3E5C" w:rsidRDefault="00952059" w:rsidP="00082D32">
      <w:pPr>
        <w:pStyle w:val="11"/>
        <w:spacing w:line="360" w:lineRule="auto"/>
        <w:jc w:val="both"/>
        <w:rPr>
          <w:rStyle w:val="apple-converted-space"/>
          <w:color w:val="3B3F41"/>
          <w:sz w:val="28"/>
          <w:szCs w:val="28"/>
          <w:shd w:val="clear" w:color="auto" w:fill="FFFFFF"/>
        </w:rPr>
      </w:pPr>
      <w:r>
        <w:rPr>
          <w:color w:val="000000"/>
          <w:sz w:val="28"/>
          <w:szCs w:val="28"/>
        </w:rPr>
        <w:t>The immune-modulating effect of Azoximer bromide is based on its direct influence on phagocytic cells and natural killer cells, as well as its ability to stimulate antibody production and IFN-alpha and IFN-gamma synthesis.</w:t>
      </w:r>
      <w:r>
        <w:rPr>
          <w:color w:val="000000"/>
          <w:sz w:val="28"/>
          <w:szCs w:val="28"/>
          <w:shd w:val="clear" w:color="auto" w:fill="FFFFFF"/>
        </w:rPr>
        <w:t xml:space="preserve"> </w:t>
      </w:r>
    </w:p>
    <w:p w:rsidR="00952059" w:rsidRPr="00761635" w:rsidRDefault="00952059" w:rsidP="00871545">
      <w:pPr>
        <w:spacing w:line="360" w:lineRule="auto"/>
        <w:jc w:val="both"/>
        <w:rPr>
          <w:color w:val="231F20"/>
          <w:sz w:val="28"/>
          <w:szCs w:val="28"/>
        </w:rPr>
      </w:pPr>
      <w:r>
        <w:rPr>
          <w:iCs/>
          <w:color w:val="000000"/>
          <w:sz w:val="28"/>
          <w:szCs w:val="28"/>
        </w:rPr>
        <w:lastRenderedPageBreak/>
        <w:t>Detoxifying and antioxidant effects of Azoximer bromide are mostly attributed to its structure and high-molecular nature.</w:t>
      </w:r>
      <w:r>
        <w:rPr>
          <w:iCs/>
          <w:color w:val="000000"/>
          <w:sz w:val="28"/>
          <w:szCs w:val="28"/>
          <w:shd w:val="clear" w:color="auto" w:fill="FFFFFF"/>
        </w:rPr>
        <w:t xml:space="preserve"> </w:t>
      </w:r>
      <w:r>
        <w:rPr>
          <w:color w:val="000000"/>
          <w:sz w:val="28"/>
          <w:szCs w:val="28"/>
        </w:rPr>
        <w:t>Azoximer bromide strengthens the body’s resistance to local and generalized bacterial, fungal and viral infections. It restores immune functions in patients with secondary immune deficiencies caused by various infections, traumas, surgical complications, burns, autoimmune diseases, malignant neoplasms, or the use of chemotherapeutic agents, cytostatics or steroid hormones.</w:t>
      </w:r>
      <w:r>
        <w:rPr>
          <w:color w:val="231F20"/>
          <w:sz w:val="28"/>
          <w:szCs w:val="28"/>
        </w:rPr>
        <w:t xml:space="preserve"> </w:t>
      </w:r>
      <w:r>
        <w:rPr>
          <w:color w:val="000000"/>
          <w:sz w:val="28"/>
          <w:szCs w:val="28"/>
        </w:rPr>
        <w:t>The use of Polyoxidonium</w:t>
      </w:r>
      <w:r>
        <w:rPr>
          <w:color w:val="000000"/>
          <w:sz w:val="28"/>
          <w:szCs w:val="28"/>
          <w:vertAlign w:val="superscript"/>
        </w:rPr>
        <w:t>®</w:t>
      </w:r>
      <w:r>
        <w:rPr>
          <w:color w:val="000000"/>
          <w:sz w:val="28"/>
          <w:szCs w:val="28"/>
        </w:rPr>
        <w:t xml:space="preserve"> in patients with secondary immune deficiencies is a way to improve the efficacy and shorten the duration of treatment, significantly reduce the use of antibiotics, bronchodilators, glucocorticosteroids, and prolong the period of remission.</w:t>
      </w:r>
    </w:p>
    <w:p w:rsidR="00952059" w:rsidRPr="00761635" w:rsidRDefault="00952059" w:rsidP="00871545">
      <w:pPr>
        <w:spacing w:line="360" w:lineRule="auto"/>
        <w:jc w:val="both"/>
        <w:rPr>
          <w:color w:val="000000"/>
          <w:sz w:val="28"/>
          <w:szCs w:val="28"/>
          <w:shd w:val="clear" w:color="auto" w:fill="FFFFFF"/>
        </w:rPr>
      </w:pPr>
      <w:r>
        <w:rPr>
          <w:color w:val="000000"/>
          <w:sz w:val="28"/>
          <w:szCs w:val="28"/>
        </w:rPr>
        <w:t>The inclusion of Polyoxidonium</w:t>
      </w:r>
      <w:r>
        <w:rPr>
          <w:color w:val="000000"/>
          <w:sz w:val="28"/>
          <w:szCs w:val="28"/>
          <w:vertAlign w:val="superscript"/>
        </w:rPr>
        <w:t>®</w:t>
      </w:r>
      <w:r>
        <w:rPr>
          <w:color w:val="000000"/>
          <w:sz w:val="28"/>
          <w:szCs w:val="28"/>
        </w:rPr>
        <w:t xml:space="preserve"> in combined therapy for cancer patients reduces intoxication during chemo- or X-ray therapy and, in most cases, allows standard therapy to be carried out without changing the regimen due to the development of infectious complications or side effects (myelosuppression, vomiting, diarrhea, cystitis, colitis, or other).</w:t>
      </w:r>
    </w:p>
    <w:p w:rsidR="00952059" w:rsidRPr="00BB1812" w:rsidRDefault="00952059" w:rsidP="00871545">
      <w:pPr>
        <w:spacing w:line="360" w:lineRule="auto"/>
        <w:jc w:val="both"/>
        <w:rPr>
          <w:sz w:val="28"/>
          <w:szCs w:val="28"/>
        </w:rPr>
      </w:pPr>
      <w:r>
        <w:rPr>
          <w:sz w:val="28"/>
          <w:szCs w:val="28"/>
        </w:rPr>
        <w:t xml:space="preserve">Local (sublingual, nasal) administration of Azoximer bromide activates rapid immune response to infections: the medicine enhances bactericidal properties of neutrophils and macrophages, amplifies their ability to engulf bacteria, and strengthens bactericidal properties of the saliva and upper respiratory tract secretions. </w:t>
      </w:r>
    </w:p>
    <w:p w:rsidR="00952059" w:rsidRPr="00761635" w:rsidRDefault="00952059" w:rsidP="00871545">
      <w:pPr>
        <w:spacing w:line="360" w:lineRule="auto"/>
        <w:jc w:val="both"/>
        <w:rPr>
          <w:sz w:val="28"/>
          <w:szCs w:val="28"/>
        </w:rPr>
      </w:pPr>
      <w:r>
        <w:rPr>
          <w:sz w:val="28"/>
          <w:szCs w:val="28"/>
        </w:rPr>
        <w:t xml:space="preserve"> </w:t>
      </w:r>
    </w:p>
    <w:p w:rsidR="00952059" w:rsidRPr="00761635" w:rsidRDefault="00952059" w:rsidP="00082D32">
      <w:pPr>
        <w:spacing w:line="360" w:lineRule="auto"/>
        <w:jc w:val="both"/>
        <w:rPr>
          <w:iCs/>
          <w:color w:val="000000"/>
          <w:sz w:val="28"/>
          <w:szCs w:val="28"/>
        </w:rPr>
      </w:pPr>
      <w:r>
        <w:rPr>
          <w:iCs/>
          <w:color w:val="000000"/>
          <w:sz w:val="28"/>
          <w:szCs w:val="28"/>
        </w:rPr>
        <w:t>Azoximer bromide blocks soluble toxic substances and microparticles, removes toxins and salts of heavy metals, inhibits lipid peroxidation by seizing free radicals and eliminating catalytically active bivalent ferrum ions.</w:t>
      </w:r>
      <w:r>
        <w:rPr>
          <w:iCs/>
          <w:color w:val="000000"/>
          <w:sz w:val="28"/>
          <w:szCs w:val="28"/>
          <w:shd w:val="clear" w:color="auto" w:fill="FFFFFF"/>
        </w:rPr>
        <w:t xml:space="preserve"> Azoximer bromide reduces the inflammatory response by optimizing the synthesis of pro- and anti-inflammatory cytokines.</w:t>
      </w:r>
    </w:p>
    <w:p w:rsidR="00952059" w:rsidRPr="00761635" w:rsidRDefault="00952059" w:rsidP="00082D32">
      <w:pPr>
        <w:pStyle w:val="11"/>
        <w:spacing w:line="360" w:lineRule="auto"/>
        <w:jc w:val="both"/>
        <w:rPr>
          <w:sz w:val="28"/>
          <w:szCs w:val="28"/>
        </w:rPr>
      </w:pPr>
      <w:r>
        <w:rPr>
          <w:color w:val="000000"/>
          <w:sz w:val="28"/>
          <w:szCs w:val="28"/>
        </w:rPr>
        <w:t xml:space="preserve">Azoximer bromide is well-tolerated, shows no mitogenic or polyclonal activity, and has no antigen properties. The medicine has no allergenic, mutagenic, embryotoxic, teratogenic or carcinogenic effects. </w:t>
      </w:r>
      <w:r>
        <w:rPr>
          <w:sz w:val="28"/>
          <w:szCs w:val="28"/>
        </w:rPr>
        <w:t>Azoximer bromide has no smell or taste, and does not irritate nasal or oral mucosae.</w:t>
      </w:r>
    </w:p>
    <w:p w:rsidR="00952059" w:rsidRPr="00761635" w:rsidRDefault="00952059" w:rsidP="00082D32">
      <w:pPr>
        <w:pStyle w:val="a7"/>
        <w:spacing w:line="360" w:lineRule="auto"/>
        <w:jc w:val="both"/>
        <w:rPr>
          <w:rFonts w:ascii="Times New Roman" w:hAnsi="Times New Roman"/>
          <w:b/>
          <w:sz w:val="28"/>
          <w:szCs w:val="28"/>
        </w:rPr>
      </w:pPr>
      <w:r>
        <w:rPr>
          <w:rFonts w:ascii="Times New Roman" w:hAnsi="Times New Roman"/>
          <w:b/>
          <w:sz w:val="28"/>
          <w:szCs w:val="28"/>
        </w:rPr>
        <w:lastRenderedPageBreak/>
        <w:t>Pharmacokinetics</w:t>
      </w:r>
    </w:p>
    <w:p w:rsidR="00952059" w:rsidRPr="00761635" w:rsidRDefault="00952059" w:rsidP="00082D32">
      <w:pPr>
        <w:pStyle w:val="a7"/>
        <w:spacing w:line="360" w:lineRule="auto"/>
        <w:jc w:val="both"/>
        <w:rPr>
          <w:rFonts w:ascii="Times New Roman" w:hAnsi="Times New Roman"/>
          <w:color w:val="000000"/>
          <w:sz w:val="28"/>
          <w:szCs w:val="28"/>
        </w:rPr>
      </w:pPr>
      <w:r>
        <w:rPr>
          <w:rFonts w:ascii="Times New Roman" w:hAnsi="Times New Roman"/>
          <w:sz w:val="28"/>
          <w:szCs w:val="28"/>
        </w:rPr>
        <w:t xml:space="preserve">Azoximer bromide is characterized by rapid absorption and quick distribution within the body. If the drug is administered intramuscularly, the peak blood concentration is achieved after 40 minutes since the injection. The elimination half-life ranges from 36 to 65 hours, depending on the patient's age. The medical product has a high bioavailability (more than 90% if administered parenterally). </w:t>
      </w:r>
    </w:p>
    <w:p w:rsidR="00952059" w:rsidRPr="00761635" w:rsidRDefault="00952059" w:rsidP="00082D32">
      <w:pPr>
        <w:pStyle w:val="a7"/>
        <w:spacing w:line="360" w:lineRule="auto"/>
        <w:jc w:val="both"/>
        <w:rPr>
          <w:rFonts w:ascii="Times New Roman" w:hAnsi="Times New Roman"/>
          <w:sz w:val="28"/>
          <w:szCs w:val="28"/>
        </w:rPr>
      </w:pPr>
      <w:r>
        <w:rPr>
          <w:rFonts w:ascii="Times New Roman" w:hAnsi="Times New Roman"/>
          <w:sz w:val="28"/>
          <w:szCs w:val="28"/>
        </w:rPr>
        <w:t>Azoximer bromide is rapidly distributed across all organs and tissues of the body, penetrating the blood-brain and blood-aqueous barriers. The medicine has no cumulative effect. Azoximer bromide is eliminated to low-molecular oligomers; the major elimination route is via the kidneys, with up to 3% excreted in feces.</w:t>
      </w:r>
    </w:p>
    <w:p w:rsidR="00952059" w:rsidRPr="00761635" w:rsidRDefault="00952059" w:rsidP="000507FC">
      <w:pPr>
        <w:pStyle w:val="11"/>
        <w:spacing w:before="120" w:line="360" w:lineRule="auto"/>
        <w:rPr>
          <w:b/>
          <w:color w:val="000000"/>
          <w:sz w:val="28"/>
          <w:szCs w:val="28"/>
        </w:rPr>
      </w:pPr>
      <w:r>
        <w:rPr>
          <w:b/>
          <w:color w:val="000000"/>
          <w:sz w:val="28"/>
          <w:szCs w:val="28"/>
        </w:rPr>
        <w:t>Indications for use</w:t>
      </w:r>
    </w:p>
    <w:p w:rsidR="00952059" w:rsidRPr="00761635" w:rsidRDefault="00952059" w:rsidP="00C632D2">
      <w:pPr>
        <w:pStyle w:val="af3"/>
        <w:spacing w:after="0" w:line="360" w:lineRule="auto"/>
        <w:jc w:val="both"/>
        <w:rPr>
          <w:sz w:val="28"/>
          <w:szCs w:val="28"/>
        </w:rPr>
      </w:pPr>
      <w:r>
        <w:rPr>
          <w:sz w:val="28"/>
          <w:szCs w:val="28"/>
        </w:rPr>
        <w:t>Azoximer bromide is used for the treatment and prophylaxis of infectious and inflammatory diseases (of viral, bacterial or fungal etiology) in adults or children aged 6 months or older. The medicine is effective in the acute phase of a disease and during the remission.</w:t>
      </w:r>
    </w:p>
    <w:p w:rsidR="00952059" w:rsidRPr="00761635" w:rsidRDefault="00952059">
      <w:pPr>
        <w:pStyle w:val="11"/>
        <w:spacing w:line="360" w:lineRule="auto"/>
        <w:rPr>
          <w:sz w:val="28"/>
          <w:szCs w:val="28"/>
        </w:rPr>
      </w:pPr>
      <w:r>
        <w:rPr>
          <w:sz w:val="28"/>
          <w:szCs w:val="28"/>
        </w:rPr>
        <w:t>For treatment in adults (combined therapy):</w:t>
      </w:r>
    </w:p>
    <w:p w:rsidR="00952059" w:rsidRPr="00761635" w:rsidRDefault="00952059" w:rsidP="000507FC">
      <w:pPr>
        <w:numPr>
          <w:ilvl w:val="0"/>
          <w:numId w:val="17"/>
        </w:numPr>
        <w:snapToGrid w:val="0"/>
        <w:spacing w:line="360" w:lineRule="auto"/>
        <w:jc w:val="both"/>
        <w:rPr>
          <w:color w:val="000000"/>
          <w:sz w:val="28"/>
          <w:szCs w:val="28"/>
        </w:rPr>
      </w:pPr>
      <w:r>
        <w:rPr>
          <w:color w:val="000000"/>
          <w:sz w:val="28"/>
          <w:szCs w:val="28"/>
        </w:rPr>
        <w:t>chronic recurrent infectious and inflammatory diseases of various localization, bacterial, viral or fungal etiology in the acute stage;</w:t>
      </w:r>
    </w:p>
    <w:p w:rsidR="00952059" w:rsidRPr="00761635" w:rsidRDefault="00952059" w:rsidP="000507FC">
      <w:pPr>
        <w:numPr>
          <w:ilvl w:val="0"/>
          <w:numId w:val="17"/>
        </w:numPr>
        <w:snapToGrid w:val="0"/>
        <w:spacing w:line="360" w:lineRule="auto"/>
        <w:jc w:val="both"/>
        <w:rPr>
          <w:color w:val="000000"/>
          <w:sz w:val="28"/>
          <w:szCs w:val="28"/>
        </w:rPr>
      </w:pPr>
      <w:r>
        <w:rPr>
          <w:color w:val="000000"/>
          <w:sz w:val="28"/>
          <w:szCs w:val="28"/>
        </w:rPr>
        <w:t xml:space="preserve">acute viral, bacterial infections of ENT organs or upper or lower respiratory tract, gynecological and urological diseases; </w:t>
      </w:r>
    </w:p>
    <w:p w:rsidR="00952059" w:rsidRPr="00761635" w:rsidRDefault="00952059" w:rsidP="000507FC">
      <w:pPr>
        <w:numPr>
          <w:ilvl w:val="0"/>
          <w:numId w:val="17"/>
        </w:numPr>
        <w:snapToGrid w:val="0"/>
        <w:spacing w:line="360" w:lineRule="auto"/>
        <w:jc w:val="both"/>
        <w:rPr>
          <w:color w:val="000000"/>
          <w:sz w:val="28"/>
          <w:szCs w:val="28"/>
        </w:rPr>
      </w:pPr>
      <w:r>
        <w:rPr>
          <w:color w:val="000000"/>
          <w:sz w:val="28"/>
          <w:szCs w:val="28"/>
        </w:rPr>
        <w:t>acute and chronic allergic diseases (including pollinosis, bronchial asthma, atopic dermatitis) complicated by bacterial, viral or fungal infections;</w:t>
      </w:r>
    </w:p>
    <w:p w:rsidR="00952059" w:rsidRPr="00761635" w:rsidRDefault="00952059" w:rsidP="000507FC">
      <w:pPr>
        <w:numPr>
          <w:ilvl w:val="0"/>
          <w:numId w:val="17"/>
        </w:numPr>
        <w:snapToGrid w:val="0"/>
        <w:spacing w:line="360" w:lineRule="auto"/>
        <w:jc w:val="both"/>
        <w:rPr>
          <w:color w:val="000000"/>
          <w:sz w:val="28"/>
          <w:szCs w:val="28"/>
        </w:rPr>
      </w:pPr>
      <w:r>
        <w:rPr>
          <w:color w:val="000000"/>
          <w:sz w:val="28"/>
          <w:szCs w:val="28"/>
        </w:rPr>
        <w:t>malignant tumors during and after chemo- or X-ray therapy, to reduce immunosuppressive, nephro- and hepatotoxic effects of medicinal products;</w:t>
      </w:r>
    </w:p>
    <w:p w:rsidR="00952059" w:rsidRPr="00761635" w:rsidRDefault="00952059" w:rsidP="00C632D2">
      <w:pPr>
        <w:numPr>
          <w:ilvl w:val="0"/>
          <w:numId w:val="17"/>
        </w:numPr>
        <w:spacing w:line="360" w:lineRule="auto"/>
        <w:jc w:val="both"/>
        <w:rPr>
          <w:color w:val="000000"/>
          <w:sz w:val="28"/>
          <w:szCs w:val="28"/>
        </w:rPr>
      </w:pPr>
      <w:r>
        <w:rPr>
          <w:color w:val="000000"/>
          <w:sz w:val="28"/>
          <w:szCs w:val="28"/>
        </w:rPr>
        <w:t xml:space="preserve">generalized forms of surgical infections; to activate regenerative processes (for treating fractures, burns, trophic ulcers); </w:t>
      </w:r>
    </w:p>
    <w:p w:rsidR="00952059" w:rsidRPr="00761635" w:rsidRDefault="00952059" w:rsidP="000507FC">
      <w:pPr>
        <w:numPr>
          <w:ilvl w:val="0"/>
          <w:numId w:val="17"/>
        </w:numPr>
        <w:snapToGrid w:val="0"/>
        <w:spacing w:line="360" w:lineRule="auto"/>
        <w:jc w:val="both"/>
        <w:rPr>
          <w:color w:val="000000"/>
          <w:sz w:val="28"/>
          <w:szCs w:val="28"/>
        </w:rPr>
      </w:pPr>
      <w:r>
        <w:rPr>
          <w:sz w:val="28"/>
          <w:szCs w:val="28"/>
        </w:rPr>
        <w:t xml:space="preserve">rheumatoid arthritis complicated by bacterial, viral or fungal infections associated with the prolonged use of immunosuppressants; </w:t>
      </w:r>
    </w:p>
    <w:p w:rsidR="00952059" w:rsidRPr="00761635" w:rsidRDefault="00952059" w:rsidP="00C632D2">
      <w:pPr>
        <w:numPr>
          <w:ilvl w:val="0"/>
          <w:numId w:val="17"/>
        </w:numPr>
        <w:spacing w:line="360" w:lineRule="auto"/>
        <w:rPr>
          <w:snapToGrid w:val="0"/>
          <w:color w:val="000000"/>
          <w:sz w:val="28"/>
          <w:szCs w:val="28"/>
        </w:rPr>
      </w:pPr>
      <w:r>
        <w:rPr>
          <w:snapToGrid w:val="0"/>
          <w:color w:val="000000"/>
          <w:sz w:val="28"/>
          <w:szCs w:val="28"/>
        </w:rPr>
        <w:t>pulmonary tuberculosis.</w:t>
      </w:r>
    </w:p>
    <w:p w:rsidR="00952059" w:rsidRPr="00761635" w:rsidRDefault="00952059">
      <w:pPr>
        <w:pStyle w:val="11"/>
        <w:spacing w:line="360" w:lineRule="auto"/>
        <w:rPr>
          <w:color w:val="000000"/>
          <w:sz w:val="28"/>
          <w:szCs w:val="28"/>
        </w:rPr>
      </w:pPr>
      <w:r>
        <w:rPr>
          <w:color w:val="000000"/>
          <w:sz w:val="28"/>
          <w:szCs w:val="28"/>
        </w:rPr>
        <w:lastRenderedPageBreak/>
        <w:t>For treatment in children over 6 months old:</w:t>
      </w:r>
    </w:p>
    <w:p w:rsidR="00952059" w:rsidRPr="00761635" w:rsidRDefault="00952059" w:rsidP="000507FC">
      <w:pPr>
        <w:pStyle w:val="11"/>
        <w:numPr>
          <w:ilvl w:val="0"/>
          <w:numId w:val="16"/>
        </w:numPr>
        <w:spacing w:line="360" w:lineRule="auto"/>
        <w:jc w:val="both"/>
        <w:rPr>
          <w:color w:val="000000"/>
          <w:sz w:val="28"/>
          <w:szCs w:val="28"/>
        </w:rPr>
      </w:pPr>
      <w:r>
        <w:rPr>
          <w:color w:val="000000"/>
          <w:sz w:val="28"/>
          <w:szCs w:val="28"/>
        </w:rPr>
        <w:t xml:space="preserve">acute and exacerbated chronic inflammatory diseases of any localization (including those of ENT organs – sinusitis, rhinitis, adenoiditis, hypertrophy of the pharyngeal tonsil, acute respiratory viral infections) caused by bacterial, viral or fungal pathogens; </w:t>
      </w:r>
    </w:p>
    <w:p w:rsidR="00952059" w:rsidRPr="00761635" w:rsidRDefault="00952059" w:rsidP="000507FC">
      <w:pPr>
        <w:pStyle w:val="11"/>
        <w:numPr>
          <w:ilvl w:val="0"/>
          <w:numId w:val="16"/>
        </w:numPr>
        <w:spacing w:line="360" w:lineRule="auto"/>
        <w:jc w:val="both"/>
        <w:rPr>
          <w:color w:val="000000"/>
          <w:sz w:val="28"/>
          <w:szCs w:val="28"/>
        </w:rPr>
      </w:pPr>
      <w:r>
        <w:rPr>
          <w:color w:val="000000"/>
          <w:sz w:val="28"/>
          <w:szCs w:val="28"/>
        </w:rPr>
        <w:t>acute allergic and toxico-allergic conditions complicated by bacterial, viral or fungal infections;</w:t>
      </w:r>
    </w:p>
    <w:p w:rsidR="00952059" w:rsidRPr="00761635" w:rsidRDefault="00952059" w:rsidP="000507FC">
      <w:pPr>
        <w:pStyle w:val="11"/>
        <w:numPr>
          <w:ilvl w:val="0"/>
          <w:numId w:val="16"/>
        </w:numPr>
        <w:spacing w:line="360" w:lineRule="auto"/>
        <w:jc w:val="both"/>
        <w:rPr>
          <w:color w:val="000000"/>
          <w:sz w:val="28"/>
          <w:szCs w:val="28"/>
        </w:rPr>
      </w:pPr>
      <w:r>
        <w:rPr>
          <w:color w:val="000000"/>
          <w:sz w:val="28"/>
          <w:szCs w:val="28"/>
        </w:rPr>
        <w:t>bronchial asthma complicated by chronic respiratory tract infections;</w:t>
      </w:r>
    </w:p>
    <w:p w:rsidR="00952059" w:rsidRPr="00761635" w:rsidRDefault="00952059" w:rsidP="000507FC">
      <w:pPr>
        <w:pStyle w:val="11"/>
        <w:numPr>
          <w:ilvl w:val="0"/>
          <w:numId w:val="16"/>
        </w:numPr>
        <w:spacing w:line="360" w:lineRule="auto"/>
        <w:jc w:val="both"/>
        <w:rPr>
          <w:color w:val="000000"/>
          <w:sz w:val="28"/>
          <w:szCs w:val="28"/>
        </w:rPr>
      </w:pPr>
      <w:r>
        <w:rPr>
          <w:color w:val="000000"/>
          <w:sz w:val="28"/>
          <w:szCs w:val="28"/>
        </w:rPr>
        <w:t>atopic dermatitis complicated by a purulent infection;</w:t>
      </w:r>
    </w:p>
    <w:p w:rsidR="00952059" w:rsidRPr="00761635" w:rsidRDefault="00952059" w:rsidP="000507FC">
      <w:pPr>
        <w:pStyle w:val="11"/>
        <w:numPr>
          <w:ilvl w:val="0"/>
          <w:numId w:val="16"/>
        </w:numPr>
        <w:spacing w:line="360" w:lineRule="auto"/>
        <w:jc w:val="both"/>
        <w:rPr>
          <w:color w:val="000000"/>
          <w:sz w:val="28"/>
          <w:szCs w:val="28"/>
        </w:rPr>
      </w:pPr>
      <w:r>
        <w:rPr>
          <w:color w:val="000000"/>
          <w:sz w:val="28"/>
          <w:szCs w:val="28"/>
        </w:rPr>
        <w:t>intestinal dysbiosis (treated in combination with specific therapy).</w:t>
      </w:r>
    </w:p>
    <w:p w:rsidR="00952059" w:rsidRPr="00761635" w:rsidRDefault="00952059" w:rsidP="000507FC">
      <w:pPr>
        <w:pStyle w:val="11"/>
        <w:spacing w:line="360" w:lineRule="auto"/>
        <w:jc w:val="both"/>
        <w:rPr>
          <w:color w:val="000000"/>
          <w:sz w:val="28"/>
          <w:szCs w:val="28"/>
        </w:rPr>
      </w:pPr>
    </w:p>
    <w:p w:rsidR="00952059" w:rsidRPr="00761635" w:rsidRDefault="00952059" w:rsidP="000507FC">
      <w:pPr>
        <w:pStyle w:val="11"/>
        <w:spacing w:line="360" w:lineRule="auto"/>
        <w:jc w:val="both"/>
        <w:rPr>
          <w:color w:val="000000"/>
          <w:sz w:val="28"/>
          <w:szCs w:val="28"/>
        </w:rPr>
      </w:pPr>
      <w:r>
        <w:rPr>
          <w:color w:val="000000"/>
          <w:sz w:val="28"/>
          <w:szCs w:val="28"/>
        </w:rPr>
        <w:t>For prophylaxis (monotherapy) in children over 6 months old and adults:</w:t>
      </w:r>
    </w:p>
    <w:p w:rsidR="00952059" w:rsidRPr="00761635" w:rsidRDefault="00952059" w:rsidP="000507FC">
      <w:pPr>
        <w:pStyle w:val="11"/>
        <w:numPr>
          <w:ilvl w:val="0"/>
          <w:numId w:val="20"/>
        </w:numPr>
        <w:spacing w:line="360" w:lineRule="auto"/>
        <w:jc w:val="both"/>
        <w:rPr>
          <w:color w:val="000000"/>
          <w:sz w:val="28"/>
          <w:szCs w:val="28"/>
        </w:rPr>
      </w:pPr>
      <w:r>
        <w:rPr>
          <w:color w:val="000000"/>
          <w:sz w:val="28"/>
          <w:szCs w:val="28"/>
        </w:rPr>
        <w:t>influenza and acute respiratory viral infections;</w:t>
      </w:r>
    </w:p>
    <w:p w:rsidR="00952059" w:rsidRPr="00761635" w:rsidRDefault="00952059" w:rsidP="000507FC">
      <w:pPr>
        <w:pStyle w:val="11"/>
        <w:numPr>
          <w:ilvl w:val="0"/>
          <w:numId w:val="20"/>
        </w:numPr>
        <w:spacing w:line="360" w:lineRule="auto"/>
        <w:jc w:val="both"/>
        <w:rPr>
          <w:color w:val="000000"/>
          <w:sz w:val="28"/>
          <w:szCs w:val="28"/>
        </w:rPr>
      </w:pPr>
      <w:r>
        <w:rPr>
          <w:color w:val="000000"/>
          <w:sz w:val="28"/>
          <w:szCs w:val="28"/>
        </w:rPr>
        <w:t>post-operative infectious complications;</w:t>
      </w:r>
    </w:p>
    <w:p w:rsidR="00952059" w:rsidRPr="00761635" w:rsidRDefault="00952059" w:rsidP="000507FC">
      <w:pPr>
        <w:pStyle w:val="11"/>
        <w:spacing w:before="120" w:line="360" w:lineRule="auto"/>
        <w:ind w:right="-142"/>
        <w:jc w:val="both"/>
        <w:rPr>
          <w:b/>
          <w:color w:val="000000"/>
          <w:sz w:val="28"/>
          <w:szCs w:val="28"/>
        </w:rPr>
      </w:pPr>
      <w:r>
        <w:rPr>
          <w:b/>
          <w:color w:val="000000"/>
          <w:sz w:val="28"/>
          <w:szCs w:val="28"/>
        </w:rPr>
        <w:t xml:space="preserve">Contraindications  </w:t>
      </w:r>
    </w:p>
    <w:p w:rsidR="00952059" w:rsidRPr="00761635" w:rsidRDefault="00D00680" w:rsidP="00206FA6">
      <w:pPr>
        <w:pStyle w:val="11"/>
        <w:numPr>
          <w:ilvl w:val="0"/>
          <w:numId w:val="23"/>
        </w:numPr>
        <w:spacing w:line="360" w:lineRule="auto"/>
        <w:ind w:right="-142"/>
        <w:jc w:val="both"/>
        <w:rPr>
          <w:color w:val="000000"/>
          <w:sz w:val="28"/>
          <w:szCs w:val="28"/>
        </w:rPr>
      </w:pPr>
      <w:r>
        <w:rPr>
          <w:color w:val="000000"/>
          <w:sz w:val="28"/>
          <w:szCs w:val="28"/>
          <w:lang w:val="en-US"/>
        </w:rPr>
        <w:t>i</w:t>
      </w:r>
      <w:r w:rsidR="00B90D98" w:rsidRPr="004E629B">
        <w:rPr>
          <w:color w:val="000000"/>
          <w:sz w:val="28"/>
          <w:szCs w:val="28"/>
        </w:rPr>
        <w:t>ncreased individual sensitivity</w:t>
      </w:r>
      <w:r w:rsidR="00B90D98">
        <w:rPr>
          <w:rFonts w:ascii="TimesNewRomanPSMT" w:hAnsi="TimesNewRomanPSMT" w:cs="TimesNewRomanPSMT"/>
          <w:sz w:val="15"/>
          <w:szCs w:val="15"/>
          <w:lang w:val="ru-RU"/>
        </w:rPr>
        <w:t>;</w:t>
      </w:r>
    </w:p>
    <w:p w:rsidR="00952059" w:rsidRPr="00761635" w:rsidRDefault="00952059" w:rsidP="005E7AF0">
      <w:pPr>
        <w:pStyle w:val="11"/>
        <w:numPr>
          <w:ilvl w:val="0"/>
          <w:numId w:val="18"/>
        </w:numPr>
        <w:spacing w:line="360" w:lineRule="auto"/>
        <w:ind w:right="-142"/>
        <w:jc w:val="both"/>
        <w:rPr>
          <w:b/>
          <w:color w:val="000000"/>
          <w:sz w:val="28"/>
          <w:szCs w:val="28"/>
        </w:rPr>
      </w:pPr>
      <w:r>
        <w:rPr>
          <w:color w:val="000000"/>
          <w:sz w:val="28"/>
          <w:szCs w:val="28"/>
        </w:rPr>
        <w:t>pregnancy, breast-feeding;</w:t>
      </w:r>
    </w:p>
    <w:p w:rsidR="00952059" w:rsidRPr="00761635" w:rsidRDefault="00952059" w:rsidP="005E7AF0">
      <w:pPr>
        <w:pStyle w:val="11"/>
        <w:numPr>
          <w:ilvl w:val="0"/>
          <w:numId w:val="18"/>
        </w:numPr>
        <w:spacing w:line="360" w:lineRule="auto"/>
        <w:ind w:right="-142"/>
        <w:jc w:val="both"/>
        <w:rPr>
          <w:b/>
          <w:color w:val="000000"/>
          <w:sz w:val="28"/>
          <w:szCs w:val="28"/>
        </w:rPr>
      </w:pPr>
      <w:r>
        <w:rPr>
          <w:color w:val="000000"/>
          <w:sz w:val="28"/>
          <w:szCs w:val="28"/>
        </w:rPr>
        <w:t>children aged under 6 months old;</w:t>
      </w:r>
    </w:p>
    <w:p w:rsidR="00952059" w:rsidRPr="00761635" w:rsidRDefault="00425FA0" w:rsidP="005E7AF0">
      <w:pPr>
        <w:pStyle w:val="11"/>
        <w:numPr>
          <w:ilvl w:val="0"/>
          <w:numId w:val="18"/>
        </w:numPr>
        <w:spacing w:line="360" w:lineRule="auto"/>
        <w:ind w:right="-142"/>
        <w:jc w:val="both"/>
        <w:rPr>
          <w:b/>
          <w:color w:val="000000"/>
          <w:sz w:val="28"/>
          <w:szCs w:val="28"/>
        </w:rPr>
      </w:pPr>
      <w:r w:rsidRPr="004E629B">
        <w:rPr>
          <w:color w:val="000000"/>
          <w:sz w:val="28"/>
          <w:szCs w:val="28"/>
          <w:lang w:val="en-US"/>
        </w:rPr>
        <w:t xml:space="preserve"> </w:t>
      </w:r>
      <w:r>
        <w:rPr>
          <w:color w:val="000000"/>
          <w:sz w:val="28"/>
          <w:szCs w:val="28"/>
          <w:lang w:val="en-US"/>
        </w:rPr>
        <w:t>a</w:t>
      </w:r>
      <w:r w:rsidRPr="004E629B">
        <w:rPr>
          <w:color w:val="000000"/>
          <w:sz w:val="28"/>
          <w:szCs w:val="28"/>
        </w:rPr>
        <w:t>cute renal failure</w:t>
      </w:r>
      <w:r w:rsidR="00952059">
        <w:rPr>
          <w:color w:val="000000"/>
          <w:sz w:val="28"/>
          <w:szCs w:val="28"/>
        </w:rPr>
        <w:t>.</w:t>
      </w:r>
    </w:p>
    <w:p w:rsidR="00952059" w:rsidRPr="006E00E9" w:rsidRDefault="00952059" w:rsidP="000507FC">
      <w:pPr>
        <w:pStyle w:val="Normal2"/>
        <w:tabs>
          <w:tab w:val="left" w:pos="9540"/>
        </w:tabs>
        <w:spacing w:before="120" w:line="360" w:lineRule="auto"/>
        <w:jc w:val="both"/>
        <w:rPr>
          <w:b/>
          <w:color w:val="000000"/>
          <w:sz w:val="28"/>
          <w:szCs w:val="28"/>
        </w:rPr>
      </w:pPr>
      <w:r>
        <w:rPr>
          <w:b/>
          <w:color w:val="000000"/>
          <w:sz w:val="28"/>
          <w:szCs w:val="28"/>
        </w:rPr>
        <w:t xml:space="preserve">Warnings and precautions </w:t>
      </w:r>
    </w:p>
    <w:p w:rsidR="00952059" w:rsidRPr="006E00E9" w:rsidRDefault="00952059" w:rsidP="00082D32">
      <w:pPr>
        <w:spacing w:line="360" w:lineRule="auto"/>
        <w:jc w:val="both"/>
        <w:rPr>
          <w:color w:val="000000"/>
          <w:sz w:val="28"/>
          <w:szCs w:val="28"/>
        </w:rPr>
      </w:pPr>
      <w:r>
        <w:rPr>
          <w:color w:val="000000"/>
          <w:sz w:val="28"/>
          <w:szCs w:val="28"/>
        </w:rPr>
        <w:t xml:space="preserve">– chronic </w:t>
      </w:r>
      <w:r w:rsidR="008C7959">
        <w:rPr>
          <w:color w:val="000000"/>
          <w:sz w:val="28"/>
          <w:szCs w:val="28"/>
        </w:rPr>
        <w:t>renal failure</w:t>
      </w:r>
      <w:r>
        <w:rPr>
          <w:color w:val="000000"/>
          <w:sz w:val="28"/>
          <w:szCs w:val="28"/>
        </w:rPr>
        <w:t xml:space="preserve"> (use </w:t>
      </w:r>
      <w:r>
        <w:rPr>
          <w:sz w:val="28"/>
          <w:szCs w:val="28"/>
        </w:rPr>
        <w:t xml:space="preserve">no more than twice a week). </w:t>
      </w:r>
    </w:p>
    <w:p w:rsidR="00952059" w:rsidRPr="006E00E9" w:rsidRDefault="00952059" w:rsidP="000507FC">
      <w:pPr>
        <w:pStyle w:val="11"/>
        <w:spacing w:before="120" w:line="360" w:lineRule="auto"/>
        <w:jc w:val="both"/>
        <w:rPr>
          <w:b/>
          <w:sz w:val="28"/>
          <w:szCs w:val="28"/>
        </w:rPr>
      </w:pPr>
      <w:r>
        <w:rPr>
          <w:b/>
          <w:sz w:val="28"/>
          <w:szCs w:val="28"/>
        </w:rPr>
        <w:t xml:space="preserve">Use in pregnancy and breast-feeding period </w:t>
      </w:r>
    </w:p>
    <w:p w:rsidR="00952059" w:rsidRPr="006E00E9" w:rsidRDefault="00952059" w:rsidP="00082D32">
      <w:pPr>
        <w:pStyle w:val="11"/>
        <w:spacing w:line="360" w:lineRule="auto"/>
        <w:jc w:val="both"/>
        <w:rPr>
          <w:b/>
          <w:color w:val="000000"/>
          <w:sz w:val="28"/>
          <w:szCs w:val="28"/>
        </w:rPr>
      </w:pPr>
      <w:r>
        <w:rPr>
          <w:sz w:val="28"/>
          <w:szCs w:val="28"/>
        </w:rPr>
        <w:t>The use of Polyoxidonium</w:t>
      </w:r>
      <w:r>
        <w:rPr>
          <w:sz w:val="28"/>
          <w:szCs w:val="28"/>
          <w:vertAlign w:val="superscript"/>
        </w:rPr>
        <w:t>®</w:t>
      </w:r>
      <w:r>
        <w:rPr>
          <w:sz w:val="28"/>
          <w:szCs w:val="28"/>
        </w:rPr>
        <w:t xml:space="preserve"> is contraindicated in pregnant and breast-feeding women (no clinical experience of use).</w:t>
      </w:r>
    </w:p>
    <w:p w:rsidR="00952059" w:rsidRPr="006E00E9" w:rsidRDefault="00952059" w:rsidP="00082D32">
      <w:pPr>
        <w:pStyle w:val="Normal2"/>
        <w:tabs>
          <w:tab w:val="left" w:pos="9540"/>
        </w:tabs>
        <w:spacing w:line="360" w:lineRule="auto"/>
        <w:jc w:val="both"/>
        <w:rPr>
          <w:sz w:val="28"/>
          <w:szCs w:val="28"/>
        </w:rPr>
      </w:pPr>
      <w:r>
        <w:rPr>
          <w:sz w:val="28"/>
          <w:szCs w:val="28"/>
        </w:rPr>
        <w:t>During the experimental study of Polyoxidonium</w:t>
      </w:r>
      <w:r>
        <w:rPr>
          <w:sz w:val="28"/>
          <w:szCs w:val="28"/>
          <w:vertAlign w:val="superscript"/>
        </w:rPr>
        <w:t>®</w:t>
      </w:r>
      <w:r>
        <w:rPr>
          <w:sz w:val="28"/>
          <w:szCs w:val="28"/>
        </w:rPr>
        <w:t xml:space="preserve"> in animals, no effect on fertility in males or females, or embryotoxic, teratogenic</w:t>
      </w:r>
      <w:r w:rsidR="004E629B">
        <w:rPr>
          <w:sz w:val="28"/>
          <w:szCs w:val="28"/>
        </w:rPr>
        <w:t xml:space="preserve"> </w:t>
      </w:r>
      <w:r w:rsidR="008C7959" w:rsidRPr="004E629B">
        <w:rPr>
          <w:sz w:val="28"/>
          <w:szCs w:val="28"/>
        </w:rPr>
        <w:t xml:space="preserve">effects, </w:t>
      </w:r>
      <w:r w:rsidR="008C7959">
        <w:rPr>
          <w:sz w:val="28"/>
          <w:szCs w:val="28"/>
        </w:rPr>
        <w:t xml:space="preserve">or </w:t>
      </w:r>
      <w:r w:rsidR="008C7959" w:rsidRPr="004E629B">
        <w:rPr>
          <w:sz w:val="28"/>
          <w:szCs w:val="28"/>
        </w:rPr>
        <w:t>effects on</w:t>
      </w:r>
      <w:r>
        <w:rPr>
          <w:sz w:val="28"/>
          <w:szCs w:val="28"/>
        </w:rPr>
        <w:t xml:space="preserve"> fetal development were revealed, whether the drug was administered throughout the pregnancy or during the breast-feeding period. </w:t>
      </w:r>
    </w:p>
    <w:p w:rsidR="00952059" w:rsidRPr="006E00E9" w:rsidRDefault="00952059" w:rsidP="000507FC">
      <w:pPr>
        <w:spacing w:before="120" w:line="360" w:lineRule="auto"/>
        <w:jc w:val="both"/>
        <w:rPr>
          <w:b/>
          <w:color w:val="000000"/>
          <w:sz w:val="28"/>
          <w:szCs w:val="28"/>
        </w:rPr>
      </w:pPr>
      <w:r>
        <w:rPr>
          <w:b/>
          <w:color w:val="000000"/>
          <w:sz w:val="28"/>
          <w:szCs w:val="28"/>
        </w:rPr>
        <w:t>Dosage and administration</w:t>
      </w:r>
    </w:p>
    <w:p w:rsidR="00952059" w:rsidRPr="006E00E9" w:rsidRDefault="00952059" w:rsidP="00082D32">
      <w:pPr>
        <w:pStyle w:val="11"/>
        <w:spacing w:line="360" w:lineRule="auto"/>
        <w:jc w:val="both"/>
        <w:rPr>
          <w:color w:val="000000"/>
          <w:sz w:val="28"/>
          <w:szCs w:val="28"/>
        </w:rPr>
      </w:pPr>
      <w:r>
        <w:rPr>
          <w:color w:val="000000"/>
          <w:sz w:val="28"/>
          <w:szCs w:val="28"/>
        </w:rPr>
        <w:lastRenderedPageBreak/>
        <w:t>Polyoxidonium</w:t>
      </w:r>
      <w:r>
        <w:rPr>
          <w:color w:val="000000"/>
          <w:sz w:val="28"/>
          <w:szCs w:val="28"/>
          <w:vertAlign w:val="superscript"/>
        </w:rPr>
        <w:t>®</w:t>
      </w:r>
      <w:r>
        <w:rPr>
          <w:color w:val="000000"/>
          <w:sz w:val="28"/>
          <w:szCs w:val="28"/>
        </w:rPr>
        <w:t xml:space="preserve"> can be administered parenterally (intramuscularly, intravenously), nasally or sublingually. </w:t>
      </w:r>
    </w:p>
    <w:p w:rsidR="00952059" w:rsidRPr="006E00E9" w:rsidRDefault="00952059" w:rsidP="00082D32">
      <w:pPr>
        <w:pStyle w:val="11"/>
        <w:spacing w:line="360" w:lineRule="auto"/>
        <w:jc w:val="both"/>
        <w:rPr>
          <w:color w:val="000000"/>
          <w:sz w:val="28"/>
          <w:szCs w:val="28"/>
        </w:rPr>
      </w:pPr>
      <w:r>
        <w:rPr>
          <w:color w:val="000000"/>
          <w:sz w:val="28"/>
          <w:szCs w:val="28"/>
        </w:rPr>
        <w:t xml:space="preserve">A doctor should decide on the routes of administration, dosage regimen, necessity and frequency of subsequent courses of therapy depending on the disease's severity and the patient’s age. </w:t>
      </w:r>
    </w:p>
    <w:p w:rsidR="00952059" w:rsidRPr="006E00E9" w:rsidRDefault="00952059" w:rsidP="00082D32">
      <w:pPr>
        <w:pStyle w:val="11"/>
        <w:spacing w:line="360" w:lineRule="auto"/>
        <w:jc w:val="both"/>
        <w:rPr>
          <w:color w:val="000000"/>
          <w:sz w:val="28"/>
          <w:szCs w:val="28"/>
        </w:rPr>
      </w:pPr>
      <w:r>
        <w:rPr>
          <w:color w:val="000000"/>
          <w:sz w:val="28"/>
          <w:szCs w:val="28"/>
        </w:rPr>
        <w:t>Before intravenous drip infusion, use a syringe to transfer the dose sterilely into a vial/bag with a 0.9% sodium chloride solution. Do not store the solution prepared for intravenous administration.</w:t>
      </w:r>
    </w:p>
    <w:p w:rsidR="00952059" w:rsidRPr="006E00E9" w:rsidRDefault="00952059" w:rsidP="00082D32">
      <w:pPr>
        <w:pStyle w:val="11"/>
        <w:spacing w:line="360" w:lineRule="auto"/>
        <w:rPr>
          <w:i/>
          <w:color w:val="000000"/>
          <w:sz w:val="28"/>
          <w:szCs w:val="28"/>
        </w:rPr>
      </w:pPr>
      <w:r>
        <w:rPr>
          <w:i/>
          <w:color w:val="000000"/>
          <w:sz w:val="28"/>
          <w:szCs w:val="28"/>
        </w:rPr>
        <w:t>Recommended treatment regimen for adults</w:t>
      </w:r>
    </w:p>
    <w:p w:rsidR="00952059" w:rsidRPr="006E00E9" w:rsidRDefault="00952059" w:rsidP="00082D32">
      <w:pPr>
        <w:pStyle w:val="11"/>
        <w:spacing w:line="360" w:lineRule="auto"/>
        <w:jc w:val="both"/>
        <w:rPr>
          <w:color w:val="000000"/>
          <w:sz w:val="28"/>
          <w:szCs w:val="28"/>
        </w:rPr>
      </w:pPr>
      <w:r>
        <w:rPr>
          <w:color w:val="000000"/>
          <w:sz w:val="28"/>
          <w:szCs w:val="28"/>
        </w:rPr>
        <w:t xml:space="preserve">Parenteral (intramuscular or intravenous) administration: to adults, 6–12 mg of the </w:t>
      </w:r>
      <w:r w:rsidR="00384A6C">
        <w:rPr>
          <w:color w:val="000000"/>
          <w:sz w:val="28"/>
          <w:szCs w:val="28"/>
        </w:rPr>
        <w:t xml:space="preserve"> drug</w:t>
      </w:r>
      <w:r>
        <w:rPr>
          <w:color w:val="000000"/>
          <w:sz w:val="28"/>
          <w:szCs w:val="28"/>
        </w:rPr>
        <w:t xml:space="preserve"> once </w:t>
      </w:r>
      <w:r>
        <w:rPr>
          <w:color w:val="000000"/>
          <w:sz w:val="28"/>
          <w:szCs w:val="28"/>
        </w:rPr>
        <w:t>daily, every other day, or 1–2 times a week, depending on the disease and its severity.</w:t>
      </w:r>
    </w:p>
    <w:p w:rsidR="00952059" w:rsidRPr="006E00E9" w:rsidRDefault="00952059" w:rsidP="00082D32">
      <w:pPr>
        <w:snapToGrid w:val="0"/>
        <w:spacing w:line="360" w:lineRule="auto"/>
        <w:ind w:firstLine="709"/>
        <w:jc w:val="both"/>
        <w:rPr>
          <w:color w:val="000000"/>
          <w:sz w:val="28"/>
          <w:szCs w:val="28"/>
        </w:rPr>
      </w:pPr>
      <w:r>
        <w:rPr>
          <w:sz w:val="28"/>
          <w:szCs w:val="28"/>
          <w:u w:val="single"/>
        </w:rPr>
        <w:t>Acute viral or bacterial infections of ENT organs, upper and lower respiratory tract, gynecological and urological diseases:</w:t>
      </w:r>
      <w:r>
        <w:rPr>
          <w:sz w:val="28"/>
          <w:szCs w:val="28"/>
        </w:rPr>
        <w:t xml:space="preserve"> 6 mg daily for 3 days, then every other day for a total of 10 injections.</w:t>
      </w:r>
    </w:p>
    <w:p w:rsidR="00952059" w:rsidRPr="006E00E9" w:rsidRDefault="00952059" w:rsidP="00082D32">
      <w:pPr>
        <w:snapToGrid w:val="0"/>
        <w:spacing w:line="360" w:lineRule="auto"/>
        <w:ind w:firstLine="709"/>
        <w:jc w:val="both"/>
        <w:rPr>
          <w:color w:val="000000"/>
          <w:sz w:val="28"/>
          <w:szCs w:val="28"/>
          <w:u w:val="single"/>
        </w:rPr>
      </w:pPr>
      <w:r>
        <w:rPr>
          <w:sz w:val="28"/>
          <w:szCs w:val="28"/>
          <w:u w:val="single"/>
        </w:rPr>
        <w:t>Chronic recurrent infectious and inflammatory diseases of various localization, bacterial, viral or fungal etiology in the acute stage:</w:t>
      </w:r>
      <w:r>
        <w:rPr>
          <w:sz w:val="28"/>
          <w:szCs w:val="28"/>
        </w:rPr>
        <w:t xml:space="preserve"> 6 mg every other day (5 injections), then twice a week for a total of 10 injections.</w:t>
      </w:r>
    </w:p>
    <w:p w:rsidR="00952059" w:rsidRPr="006E00E9" w:rsidRDefault="00952059" w:rsidP="00082D32">
      <w:pPr>
        <w:snapToGrid w:val="0"/>
        <w:spacing w:line="360" w:lineRule="auto"/>
        <w:ind w:firstLine="709"/>
        <w:jc w:val="both"/>
        <w:rPr>
          <w:color w:val="000000"/>
          <w:sz w:val="28"/>
          <w:szCs w:val="28"/>
        </w:rPr>
      </w:pPr>
      <w:r>
        <w:rPr>
          <w:sz w:val="28"/>
          <w:szCs w:val="28"/>
          <w:u w:val="single"/>
        </w:rPr>
        <w:t>Acute and chronic allergic diseases (including pollinosis, bronchial asthma, atopic dermatitis) complicated by bacterial, viral or fungal infections:</w:t>
      </w:r>
      <w:r>
        <w:rPr>
          <w:sz w:val="28"/>
          <w:szCs w:val="28"/>
        </w:rPr>
        <w:t xml:space="preserve"> 6–12 mg every other day (5 injections).</w:t>
      </w:r>
    </w:p>
    <w:p w:rsidR="00952059" w:rsidRPr="006E00E9" w:rsidRDefault="00952059" w:rsidP="00F84520">
      <w:pPr>
        <w:pStyle w:val="11"/>
        <w:numPr>
          <w:ilvl w:val="12"/>
          <w:numId w:val="0"/>
        </w:numPr>
        <w:spacing w:line="360" w:lineRule="auto"/>
        <w:ind w:firstLine="709"/>
        <w:jc w:val="both"/>
        <w:rPr>
          <w:color w:val="000000"/>
          <w:sz w:val="28"/>
          <w:szCs w:val="28"/>
        </w:rPr>
      </w:pPr>
      <w:r>
        <w:rPr>
          <w:sz w:val="28"/>
          <w:szCs w:val="28"/>
          <w:u w:val="single"/>
        </w:rPr>
        <w:t>Rheumatoid arthritis complicated by bacterial, viral or fungal infections associated with the prolonged use of immunosuppressants:</w:t>
      </w:r>
      <w:r>
        <w:rPr>
          <w:color w:val="000000"/>
          <w:sz w:val="28"/>
          <w:szCs w:val="28"/>
        </w:rPr>
        <w:t xml:space="preserve">   6 mg every other day (5 injections), then twice a week for a total of 10 injections. </w:t>
      </w:r>
    </w:p>
    <w:p w:rsidR="00952059" w:rsidRPr="006E00E9" w:rsidRDefault="00952059" w:rsidP="00082D32">
      <w:pPr>
        <w:snapToGrid w:val="0"/>
        <w:spacing w:line="360" w:lineRule="auto"/>
        <w:ind w:firstLine="709"/>
        <w:jc w:val="both"/>
        <w:rPr>
          <w:color w:val="000000"/>
          <w:sz w:val="28"/>
          <w:szCs w:val="28"/>
        </w:rPr>
      </w:pPr>
      <w:r>
        <w:rPr>
          <w:sz w:val="28"/>
          <w:szCs w:val="28"/>
          <w:u w:val="single"/>
        </w:rPr>
        <w:t>Generalized forms of surgical infections:</w:t>
      </w:r>
      <w:r>
        <w:rPr>
          <w:sz w:val="28"/>
          <w:szCs w:val="28"/>
        </w:rPr>
        <w:t xml:space="preserve"> 6 mg daily for 3 days, then every other day for a total of 10 injections.</w:t>
      </w:r>
    </w:p>
    <w:p w:rsidR="00952059" w:rsidRPr="00D95C89" w:rsidRDefault="00952059" w:rsidP="00082D32">
      <w:pPr>
        <w:snapToGrid w:val="0"/>
        <w:spacing w:line="360" w:lineRule="auto"/>
        <w:ind w:firstLine="709"/>
        <w:jc w:val="both"/>
        <w:rPr>
          <w:color w:val="000000"/>
          <w:sz w:val="28"/>
          <w:szCs w:val="28"/>
        </w:rPr>
      </w:pPr>
      <w:r>
        <w:rPr>
          <w:color w:val="000000"/>
          <w:sz w:val="28"/>
          <w:szCs w:val="28"/>
          <w:u w:val="single"/>
        </w:rPr>
        <w:t>For the activation of regenerative processes (to treat fractures, burns, trophic ulcers):</w:t>
      </w:r>
      <w:r>
        <w:rPr>
          <w:color w:val="000000"/>
          <w:sz w:val="28"/>
          <w:szCs w:val="28"/>
        </w:rPr>
        <w:t xml:space="preserve"> 6 mg for 3 days, then every other day, a total of 10 injections.</w:t>
      </w:r>
    </w:p>
    <w:p w:rsidR="00952059" w:rsidRPr="00D95C89" w:rsidRDefault="00952059" w:rsidP="00082D32">
      <w:pPr>
        <w:snapToGrid w:val="0"/>
        <w:spacing w:line="360" w:lineRule="auto"/>
        <w:ind w:firstLine="709"/>
        <w:jc w:val="both"/>
        <w:rPr>
          <w:color w:val="000000"/>
          <w:sz w:val="28"/>
          <w:szCs w:val="28"/>
        </w:rPr>
      </w:pPr>
      <w:r>
        <w:rPr>
          <w:color w:val="000000"/>
          <w:sz w:val="28"/>
          <w:szCs w:val="28"/>
          <w:u w:val="single"/>
        </w:rPr>
        <w:t>For the prevention of post-operative infectious complications:</w:t>
      </w:r>
      <w:r>
        <w:rPr>
          <w:color w:val="000000"/>
          <w:sz w:val="28"/>
          <w:szCs w:val="28"/>
        </w:rPr>
        <w:t xml:space="preserve"> 6 mg every other day (5 injections).</w:t>
      </w:r>
    </w:p>
    <w:p w:rsidR="00952059" w:rsidRPr="006E00E9" w:rsidRDefault="00952059" w:rsidP="00082D32">
      <w:pPr>
        <w:pStyle w:val="11"/>
        <w:numPr>
          <w:ilvl w:val="12"/>
          <w:numId w:val="0"/>
        </w:numPr>
        <w:spacing w:line="360" w:lineRule="auto"/>
        <w:ind w:firstLine="709"/>
        <w:jc w:val="both"/>
        <w:rPr>
          <w:color w:val="000000"/>
          <w:sz w:val="28"/>
          <w:szCs w:val="28"/>
        </w:rPr>
      </w:pPr>
      <w:r>
        <w:rPr>
          <w:color w:val="000000"/>
          <w:sz w:val="28"/>
          <w:szCs w:val="28"/>
          <w:u w:val="single"/>
        </w:rPr>
        <w:lastRenderedPageBreak/>
        <w:t>Pulmonary tuberculosis:</w:t>
      </w:r>
      <w:r>
        <w:rPr>
          <w:color w:val="000000"/>
          <w:sz w:val="28"/>
          <w:szCs w:val="28"/>
        </w:rPr>
        <w:t xml:space="preserve"> 6 mg twice a week for a total of 20 injections.</w:t>
      </w:r>
    </w:p>
    <w:p w:rsidR="00952059" w:rsidRPr="006E00E9" w:rsidRDefault="00952059" w:rsidP="00082D32">
      <w:pPr>
        <w:pStyle w:val="11"/>
        <w:spacing w:line="360" w:lineRule="auto"/>
        <w:ind w:firstLine="709"/>
        <w:jc w:val="both"/>
        <w:rPr>
          <w:color w:val="000000"/>
          <w:sz w:val="28"/>
          <w:szCs w:val="28"/>
          <w:u w:val="single"/>
        </w:rPr>
      </w:pPr>
      <w:r>
        <w:rPr>
          <w:color w:val="000000"/>
          <w:sz w:val="28"/>
          <w:szCs w:val="28"/>
          <w:u w:val="single"/>
        </w:rPr>
        <w:t>In cancer patients:</w:t>
      </w:r>
    </w:p>
    <w:p w:rsidR="00952059" w:rsidRPr="006E00E9" w:rsidRDefault="00952059" w:rsidP="00082D32">
      <w:pPr>
        <w:pStyle w:val="11"/>
        <w:spacing w:line="360" w:lineRule="auto"/>
        <w:ind w:firstLine="540"/>
        <w:jc w:val="both"/>
        <w:rPr>
          <w:color w:val="000000"/>
          <w:sz w:val="28"/>
          <w:szCs w:val="28"/>
        </w:rPr>
      </w:pPr>
      <w:r>
        <w:rPr>
          <w:color w:val="000000"/>
          <w:sz w:val="28"/>
          <w:szCs w:val="28"/>
        </w:rPr>
        <w:t xml:space="preserve"> </w:t>
      </w:r>
      <w:r>
        <w:rPr>
          <w:sz w:val="28"/>
          <w:szCs w:val="28"/>
        </w:rPr>
        <w:t>– before and during a chemotherapy course to reduce immunosuppressive, hepato- and nephrotoxic effects of chemotherapeutic agents, 6–12 mg every other day for a total of 10 injections; from then on, a doctor should determine the frequency of injections depending on the duration and patient's tolerance of chemo- or X-ray therapy;</w:t>
      </w:r>
    </w:p>
    <w:p w:rsidR="00952059" w:rsidRPr="006E00E9" w:rsidRDefault="00952059" w:rsidP="00082D32">
      <w:pPr>
        <w:pStyle w:val="11"/>
        <w:spacing w:line="360" w:lineRule="auto"/>
        <w:ind w:firstLine="540"/>
        <w:jc w:val="both"/>
        <w:rPr>
          <w:color w:val="000000"/>
          <w:sz w:val="28"/>
          <w:szCs w:val="28"/>
        </w:rPr>
      </w:pPr>
      <w:r>
        <w:rPr>
          <w:color w:val="000000"/>
          <w:sz w:val="28"/>
          <w:szCs w:val="28"/>
        </w:rPr>
        <w:t>– to prevent immunosuppressive effects of a tumor, or treat an immunodeficiency condition after chemo- or X-ray therapy, or after a tumor has been removed surgically, long-term Polyoxidonium</w:t>
      </w:r>
      <w:r>
        <w:rPr>
          <w:color w:val="000000"/>
          <w:sz w:val="28"/>
          <w:szCs w:val="28"/>
          <w:vertAlign w:val="superscript"/>
        </w:rPr>
        <w:t>®</w:t>
      </w:r>
      <w:r>
        <w:rPr>
          <w:color w:val="000000"/>
          <w:sz w:val="28"/>
          <w:szCs w:val="28"/>
        </w:rPr>
        <w:t xml:space="preserve"> therapy between 2–3 months and 1 year is indicated (6 mg 1–2 times a week). Long-term therapy has no cumulative effect and produce no manifestations of toxicity or addiction.</w:t>
      </w:r>
    </w:p>
    <w:p w:rsidR="00952059" w:rsidRPr="006E00E9" w:rsidRDefault="00B8005D" w:rsidP="00987F2F">
      <w:pPr>
        <w:pStyle w:val="11"/>
        <w:spacing w:line="360" w:lineRule="auto"/>
        <w:jc w:val="both"/>
        <w:rPr>
          <w:color w:val="000000"/>
          <w:sz w:val="28"/>
          <w:szCs w:val="28"/>
        </w:rPr>
      </w:pPr>
      <w:r>
        <w:rPr>
          <w:color w:val="000000"/>
          <w:sz w:val="28"/>
          <w:szCs w:val="28"/>
        </w:rPr>
        <w:t xml:space="preserve">         </w:t>
      </w:r>
      <w:r>
        <w:rPr>
          <w:color w:val="000000"/>
          <w:sz w:val="28"/>
          <w:szCs w:val="28"/>
          <w:u w:val="single"/>
        </w:rPr>
        <w:t>Nasal or sublingual administration</w:t>
      </w:r>
      <w:r>
        <w:rPr>
          <w:color w:val="000000"/>
          <w:sz w:val="28"/>
          <w:szCs w:val="28"/>
        </w:rPr>
        <w:t xml:space="preserve"> (see </w:t>
      </w:r>
      <w:r>
        <w:rPr>
          <w:i/>
          <w:iCs/>
          <w:color w:val="000000"/>
          <w:sz w:val="28"/>
          <w:szCs w:val="28"/>
        </w:rPr>
        <w:t>Rules for sublingual and nasal administration</w:t>
      </w:r>
      <w:r>
        <w:rPr>
          <w:color w:val="000000"/>
          <w:sz w:val="28"/>
          <w:szCs w:val="28"/>
        </w:rPr>
        <w:t>):</w:t>
      </w:r>
    </w:p>
    <w:p w:rsidR="00952059" w:rsidRPr="00F84520" w:rsidRDefault="00B8005D" w:rsidP="00987F2F">
      <w:pPr>
        <w:pStyle w:val="11"/>
        <w:spacing w:before="120" w:line="360" w:lineRule="auto"/>
        <w:jc w:val="both"/>
        <w:rPr>
          <w:color w:val="000000"/>
          <w:sz w:val="28"/>
          <w:szCs w:val="28"/>
        </w:rPr>
      </w:pPr>
      <w:r>
        <w:rPr>
          <w:color w:val="000000"/>
          <w:sz w:val="28"/>
          <w:szCs w:val="28"/>
        </w:rPr>
        <w:t xml:space="preserve">       treatment of acute and exacerbated chronic infections of ENT organs;</w:t>
      </w:r>
    </w:p>
    <w:p w:rsidR="00952059" w:rsidRPr="00F84520" w:rsidRDefault="00952059" w:rsidP="00082D32">
      <w:pPr>
        <w:pStyle w:val="11"/>
        <w:spacing w:line="360" w:lineRule="auto"/>
        <w:ind w:firstLine="567"/>
        <w:jc w:val="both"/>
        <w:rPr>
          <w:color w:val="000000"/>
          <w:sz w:val="28"/>
          <w:szCs w:val="28"/>
        </w:rPr>
      </w:pPr>
      <w:r>
        <w:rPr>
          <w:color w:val="000000"/>
          <w:sz w:val="28"/>
          <w:szCs w:val="28"/>
        </w:rPr>
        <w:t>prophylaxis of influenza and ARVI;</w:t>
      </w:r>
    </w:p>
    <w:p w:rsidR="00952059" w:rsidRPr="00F84520" w:rsidRDefault="00952059" w:rsidP="00082D32">
      <w:pPr>
        <w:pStyle w:val="11"/>
        <w:spacing w:line="360" w:lineRule="auto"/>
        <w:ind w:firstLine="567"/>
        <w:jc w:val="both"/>
        <w:rPr>
          <w:color w:val="000000"/>
          <w:sz w:val="28"/>
          <w:szCs w:val="28"/>
        </w:rPr>
      </w:pPr>
      <w:r>
        <w:rPr>
          <w:color w:val="000000"/>
          <w:sz w:val="28"/>
          <w:szCs w:val="28"/>
        </w:rPr>
        <w:t>activation of regenerative processes in mucosae;</w:t>
      </w:r>
    </w:p>
    <w:p w:rsidR="00952059" w:rsidRDefault="00952059" w:rsidP="00082D32">
      <w:pPr>
        <w:pStyle w:val="11"/>
        <w:spacing w:line="360" w:lineRule="auto"/>
        <w:ind w:firstLine="567"/>
        <w:jc w:val="both"/>
        <w:rPr>
          <w:color w:val="000000"/>
          <w:sz w:val="28"/>
          <w:szCs w:val="28"/>
        </w:rPr>
      </w:pPr>
      <w:r>
        <w:rPr>
          <w:color w:val="000000"/>
          <w:sz w:val="28"/>
          <w:szCs w:val="28"/>
        </w:rPr>
        <w:t>prevention of complications and relapses of chronic diseases;</w:t>
      </w:r>
    </w:p>
    <w:p w:rsidR="00952059" w:rsidRPr="00A6439B" w:rsidRDefault="00952059" w:rsidP="00D8391B">
      <w:pPr>
        <w:spacing w:line="360" w:lineRule="auto"/>
        <w:jc w:val="both"/>
        <w:rPr>
          <w:iCs/>
          <w:sz w:val="28"/>
          <w:szCs w:val="28"/>
        </w:rPr>
      </w:pPr>
      <w:r>
        <w:rPr>
          <w:iCs/>
          <w:sz w:val="28"/>
          <w:szCs w:val="28"/>
        </w:rPr>
        <w:t xml:space="preserve">Total daily amount: 1 mL (20 drops) – a 6 mg/mL syringe. </w:t>
      </w:r>
    </w:p>
    <w:p w:rsidR="00952059" w:rsidRPr="00B9316D" w:rsidRDefault="00952059" w:rsidP="00D8391B">
      <w:pPr>
        <w:spacing w:line="360" w:lineRule="auto"/>
        <w:jc w:val="both"/>
        <w:rPr>
          <w:color w:val="000000"/>
          <w:sz w:val="28"/>
          <w:szCs w:val="28"/>
        </w:rPr>
      </w:pPr>
      <w:r>
        <w:rPr>
          <w:color w:val="000000"/>
          <w:sz w:val="28"/>
          <w:szCs w:val="28"/>
        </w:rPr>
        <w:t>A daily amount should be administered nasally or sublingually in 3–4 doses over the day.</w:t>
      </w:r>
    </w:p>
    <w:p w:rsidR="00952059" w:rsidRPr="006E00E9" w:rsidRDefault="00952059" w:rsidP="00F95461">
      <w:pPr>
        <w:pStyle w:val="11"/>
        <w:spacing w:line="360" w:lineRule="auto"/>
        <w:ind w:firstLine="567"/>
        <w:jc w:val="both"/>
        <w:rPr>
          <w:i/>
          <w:color w:val="000000"/>
          <w:sz w:val="28"/>
          <w:szCs w:val="28"/>
        </w:rPr>
      </w:pPr>
      <w:r>
        <w:rPr>
          <w:i/>
          <w:color w:val="000000"/>
          <w:sz w:val="28"/>
          <w:szCs w:val="28"/>
        </w:rPr>
        <w:t xml:space="preserve">Recommended treatment regimen for children </w:t>
      </w:r>
    </w:p>
    <w:p w:rsidR="00952059" w:rsidRPr="006E00E9" w:rsidRDefault="00952059" w:rsidP="005E7AF0">
      <w:pPr>
        <w:pStyle w:val="110"/>
        <w:spacing w:line="360" w:lineRule="auto"/>
        <w:jc w:val="both"/>
        <w:rPr>
          <w:color w:val="000000"/>
          <w:sz w:val="28"/>
          <w:szCs w:val="28"/>
        </w:rPr>
      </w:pPr>
      <w:r>
        <w:rPr>
          <w:color w:val="000000"/>
          <w:sz w:val="28"/>
          <w:szCs w:val="28"/>
        </w:rPr>
        <w:t>Parenteral (intramuscular or intravenous) administration:</w:t>
      </w:r>
      <w:r>
        <w:rPr>
          <w:b/>
          <w:color w:val="000000"/>
          <w:sz w:val="28"/>
          <w:szCs w:val="28"/>
        </w:rPr>
        <w:t xml:space="preserve"> </w:t>
      </w:r>
      <w:r>
        <w:rPr>
          <w:color w:val="000000"/>
          <w:sz w:val="28"/>
          <w:szCs w:val="28"/>
        </w:rPr>
        <w:t>to children aged 6 months or older, 0.1–0.15 mg/kg daily, every other day, or twice a week for a total of 5–10 injections.</w:t>
      </w:r>
    </w:p>
    <w:p w:rsidR="00952059" w:rsidRPr="006E00E9" w:rsidRDefault="00952059" w:rsidP="001B0A6F">
      <w:pPr>
        <w:pStyle w:val="11"/>
        <w:spacing w:line="360" w:lineRule="auto"/>
        <w:ind w:firstLine="709"/>
        <w:jc w:val="both"/>
        <w:rPr>
          <w:color w:val="000000"/>
          <w:sz w:val="28"/>
          <w:szCs w:val="28"/>
        </w:rPr>
      </w:pPr>
      <w:r>
        <w:rPr>
          <w:sz w:val="28"/>
          <w:szCs w:val="28"/>
          <w:u w:val="single"/>
        </w:rPr>
        <w:t>Acute and exacerbated chronic inflammatory diseases of any localization</w:t>
      </w:r>
      <w:r>
        <w:rPr>
          <w:sz w:val="28"/>
          <w:szCs w:val="28"/>
        </w:rPr>
        <w:t xml:space="preserve"> (including those of ENT organs – sinusitis, rhinitis, adenoiditis, hypertrophy of the pharyngeal tonsil, acute respiratory viral infections) </w:t>
      </w:r>
      <w:r>
        <w:rPr>
          <w:sz w:val="28"/>
          <w:szCs w:val="28"/>
          <w:u w:val="single"/>
        </w:rPr>
        <w:t>caused by bacterial, viral or fungal pathogens:</w:t>
      </w:r>
      <w:r>
        <w:rPr>
          <w:sz w:val="28"/>
          <w:szCs w:val="28"/>
        </w:rPr>
        <w:t xml:space="preserve"> 0.1 mg/kg for 3 consecutive days, then every other day for a total of 10 injections.</w:t>
      </w:r>
    </w:p>
    <w:p w:rsidR="00952059" w:rsidRPr="006E00E9" w:rsidRDefault="00952059" w:rsidP="001B0A6F">
      <w:pPr>
        <w:pStyle w:val="11"/>
        <w:spacing w:line="360" w:lineRule="auto"/>
        <w:ind w:firstLine="709"/>
        <w:jc w:val="both"/>
        <w:rPr>
          <w:sz w:val="28"/>
          <w:szCs w:val="28"/>
        </w:rPr>
      </w:pPr>
      <w:r>
        <w:rPr>
          <w:sz w:val="28"/>
          <w:szCs w:val="28"/>
          <w:u w:val="single"/>
        </w:rPr>
        <w:lastRenderedPageBreak/>
        <w:t>Acute allergic and toxico-allergic conditions (including bronchial asthma, atopic dermatitis) complicated by bacterial, viral or fungal infections:</w:t>
      </w:r>
      <w:r>
        <w:rPr>
          <w:sz w:val="28"/>
          <w:szCs w:val="28"/>
        </w:rPr>
        <w:t xml:space="preserve"> 0.1 mg/kg </w:t>
      </w:r>
      <w:r w:rsidR="00384A6C">
        <w:rPr>
          <w:sz w:val="28"/>
          <w:szCs w:val="28"/>
        </w:rPr>
        <w:t xml:space="preserve">daily </w:t>
      </w:r>
      <w:r>
        <w:rPr>
          <w:sz w:val="28"/>
          <w:szCs w:val="28"/>
        </w:rPr>
        <w:t>for 3 days, then every other day, a total of 10 injections in combination with basic therapy.</w:t>
      </w:r>
    </w:p>
    <w:p w:rsidR="00952059" w:rsidRDefault="00B8005D" w:rsidP="00987F2F">
      <w:pPr>
        <w:snapToGrid w:val="0"/>
        <w:spacing w:before="120" w:line="360" w:lineRule="auto"/>
        <w:jc w:val="both"/>
        <w:rPr>
          <w:color w:val="000000"/>
          <w:sz w:val="28"/>
          <w:szCs w:val="28"/>
        </w:rPr>
      </w:pPr>
      <w:r>
        <w:rPr>
          <w:color w:val="000000"/>
          <w:sz w:val="28"/>
          <w:szCs w:val="28"/>
        </w:rPr>
        <w:t xml:space="preserve">          </w:t>
      </w:r>
      <w:r>
        <w:rPr>
          <w:color w:val="000000"/>
          <w:sz w:val="28"/>
          <w:szCs w:val="28"/>
          <w:u w:val="single"/>
        </w:rPr>
        <w:t>Nasal or sublingual administration</w:t>
      </w:r>
      <w:r>
        <w:rPr>
          <w:color w:val="000000"/>
          <w:sz w:val="28"/>
          <w:szCs w:val="28"/>
        </w:rPr>
        <w:t xml:space="preserve"> (see </w:t>
      </w:r>
      <w:r>
        <w:rPr>
          <w:i/>
          <w:iCs/>
          <w:color w:val="000000"/>
          <w:sz w:val="28"/>
          <w:szCs w:val="28"/>
        </w:rPr>
        <w:t>Rules for sublingual and nasal administration</w:t>
      </w:r>
      <w:r>
        <w:rPr>
          <w:color w:val="000000"/>
          <w:sz w:val="28"/>
          <w:szCs w:val="28"/>
        </w:rPr>
        <w:t xml:space="preserve">):                         </w:t>
      </w:r>
    </w:p>
    <w:p w:rsidR="00952059" w:rsidRPr="006E00E9" w:rsidRDefault="00952059" w:rsidP="00E875A6">
      <w:pPr>
        <w:tabs>
          <w:tab w:val="left" w:pos="142"/>
        </w:tabs>
        <w:snapToGrid w:val="0"/>
        <w:spacing w:before="120" w:line="360" w:lineRule="auto"/>
        <w:jc w:val="both"/>
        <w:rPr>
          <w:sz w:val="28"/>
          <w:szCs w:val="28"/>
        </w:rPr>
      </w:pPr>
      <w:r>
        <w:rPr>
          <w:sz w:val="28"/>
          <w:szCs w:val="28"/>
        </w:rPr>
        <w:t xml:space="preserve">– </w:t>
      </w:r>
      <w:r>
        <w:rPr>
          <w:sz w:val="28"/>
          <w:szCs w:val="28"/>
          <w:u w:val="single"/>
        </w:rPr>
        <w:t>acute and chronic rhinitis, rhinosinusitis, adenoiditis</w:t>
      </w:r>
      <w:r>
        <w:rPr>
          <w:sz w:val="28"/>
          <w:szCs w:val="28"/>
        </w:rPr>
        <w:t xml:space="preserve"> (treatment and prevention of exacerbations);</w:t>
      </w:r>
    </w:p>
    <w:p w:rsidR="00952059" w:rsidRPr="006E00E9" w:rsidRDefault="00E875A6" w:rsidP="00F33055">
      <w:pPr>
        <w:snapToGrid w:val="0"/>
        <w:spacing w:line="360" w:lineRule="auto"/>
        <w:jc w:val="both"/>
        <w:rPr>
          <w:color w:val="000000"/>
          <w:sz w:val="28"/>
          <w:szCs w:val="28"/>
        </w:rPr>
      </w:pPr>
      <w:r>
        <w:rPr>
          <w:color w:val="000000"/>
          <w:sz w:val="28"/>
          <w:szCs w:val="28"/>
        </w:rPr>
        <w:t xml:space="preserve">– </w:t>
      </w:r>
      <w:r>
        <w:rPr>
          <w:color w:val="000000"/>
          <w:sz w:val="28"/>
          <w:szCs w:val="28"/>
          <w:u w:val="single"/>
        </w:rPr>
        <w:t>pre-operative preparation</w:t>
      </w:r>
      <w:r>
        <w:rPr>
          <w:color w:val="000000"/>
          <w:sz w:val="28"/>
          <w:szCs w:val="28"/>
        </w:rPr>
        <w:t xml:space="preserve"> for surgical interventions in patients with ENT pathologies, prevention of infectious complications or relapses during the post-operative period;</w:t>
      </w:r>
    </w:p>
    <w:p w:rsidR="00952059" w:rsidRPr="006E00E9" w:rsidRDefault="00952059" w:rsidP="00E875A6">
      <w:pPr>
        <w:tabs>
          <w:tab w:val="left" w:pos="284"/>
        </w:tabs>
        <w:spacing w:line="360" w:lineRule="auto"/>
        <w:jc w:val="both"/>
        <w:rPr>
          <w:color w:val="000000"/>
          <w:sz w:val="28"/>
          <w:szCs w:val="28"/>
        </w:rPr>
      </w:pPr>
      <w:r>
        <w:rPr>
          <w:color w:val="000000"/>
          <w:sz w:val="28"/>
          <w:szCs w:val="28"/>
        </w:rPr>
        <w:t xml:space="preserve">– </w:t>
      </w:r>
      <w:r>
        <w:rPr>
          <w:color w:val="000000"/>
          <w:sz w:val="28"/>
          <w:szCs w:val="28"/>
          <w:u w:val="single"/>
        </w:rPr>
        <w:t>treatment and prophylaxis of influenza and other acute respiratory viral infections</w:t>
      </w:r>
      <w:r>
        <w:rPr>
          <w:color w:val="000000"/>
          <w:sz w:val="28"/>
          <w:szCs w:val="28"/>
        </w:rPr>
        <w:t xml:space="preserve"> (for 1 month before an expected epidemic, at any time after the onset of the disease, or during the period of recovery);</w:t>
      </w:r>
    </w:p>
    <w:p w:rsidR="00952059" w:rsidRPr="006E00E9" w:rsidRDefault="00952059" w:rsidP="005E7AF0">
      <w:pPr>
        <w:spacing w:line="360" w:lineRule="auto"/>
        <w:jc w:val="both"/>
        <w:rPr>
          <w:color w:val="000000"/>
          <w:sz w:val="28"/>
          <w:szCs w:val="28"/>
        </w:rPr>
      </w:pPr>
      <w:r>
        <w:rPr>
          <w:color w:val="000000"/>
          <w:sz w:val="28"/>
          <w:szCs w:val="28"/>
        </w:rPr>
        <w:t xml:space="preserve">– </w:t>
      </w:r>
      <w:r>
        <w:rPr>
          <w:color w:val="000000"/>
          <w:sz w:val="28"/>
          <w:szCs w:val="28"/>
          <w:u w:val="single"/>
        </w:rPr>
        <w:t>treatment of intestinal dysbiosis</w:t>
      </w:r>
      <w:r>
        <w:rPr>
          <w:color w:val="000000"/>
          <w:sz w:val="28"/>
          <w:szCs w:val="28"/>
        </w:rPr>
        <w:t xml:space="preserve"> (sublingually) for 10 days in combination with basic therapy.</w:t>
      </w:r>
    </w:p>
    <w:p w:rsidR="00952059" w:rsidRDefault="00952059" w:rsidP="007606F0">
      <w:pPr>
        <w:spacing w:line="360" w:lineRule="auto"/>
        <w:rPr>
          <w:sz w:val="28"/>
          <w:szCs w:val="28"/>
        </w:rPr>
      </w:pPr>
      <w:r>
        <w:rPr>
          <w:b/>
          <w:bCs/>
          <w:sz w:val="28"/>
          <w:szCs w:val="28"/>
        </w:rPr>
        <w:t>For children</w:t>
      </w:r>
      <w:r>
        <w:rPr>
          <w:sz w:val="28"/>
          <w:szCs w:val="28"/>
        </w:rPr>
        <w:t xml:space="preserve"> between 6 months and 18 years old, 3 mg/mL syringes are recommended. </w:t>
      </w:r>
    </w:p>
    <w:p w:rsidR="00952059" w:rsidRPr="001471F8" w:rsidRDefault="00952059" w:rsidP="007606F0">
      <w:pPr>
        <w:spacing w:line="360" w:lineRule="auto"/>
        <w:rPr>
          <w:sz w:val="28"/>
          <w:szCs w:val="28"/>
        </w:rPr>
      </w:pPr>
      <w:r>
        <w:rPr>
          <w:color w:val="000000"/>
          <w:sz w:val="28"/>
          <w:szCs w:val="28"/>
        </w:rPr>
        <w:t>Total daily amount: 1 drop (0.15 mg) per kg of body weight. </w:t>
      </w:r>
      <w:r>
        <w:rPr>
          <w:rStyle w:val="apple-converted-space"/>
          <w:color w:val="000000"/>
          <w:sz w:val="28"/>
          <w:szCs w:val="28"/>
        </w:rPr>
        <w:t> </w:t>
      </w:r>
      <w:r>
        <w:rPr>
          <w:color w:val="000000"/>
          <w:sz w:val="28"/>
          <w:szCs w:val="28"/>
        </w:rPr>
        <w:br/>
        <w:t>No more than 20 drops (3 mg of active substance) for children up to 20 kg.</w:t>
      </w:r>
      <w:r>
        <w:rPr>
          <w:rStyle w:val="apple-converted-space"/>
          <w:color w:val="000000"/>
          <w:sz w:val="28"/>
          <w:szCs w:val="28"/>
        </w:rPr>
        <w:t> </w:t>
      </w:r>
      <w:r>
        <w:rPr>
          <w:color w:val="000000"/>
          <w:sz w:val="28"/>
          <w:szCs w:val="28"/>
        </w:rPr>
        <w:br/>
        <w:t>No more than 40 drops (6 mg of active substance) for children over 20 kg.</w:t>
      </w:r>
      <w:r>
        <w:rPr>
          <w:sz w:val="28"/>
          <w:szCs w:val="28"/>
        </w:rPr>
        <w:t xml:space="preserve"> </w:t>
      </w:r>
    </w:p>
    <w:p w:rsidR="00952059" w:rsidRPr="006E00E9" w:rsidRDefault="00952059" w:rsidP="000E7734">
      <w:pPr>
        <w:spacing w:line="360" w:lineRule="auto"/>
        <w:jc w:val="both"/>
        <w:rPr>
          <w:color w:val="000000"/>
          <w:sz w:val="28"/>
          <w:szCs w:val="28"/>
        </w:rPr>
      </w:pPr>
      <w:r>
        <w:rPr>
          <w:bCs/>
          <w:color w:val="000000"/>
          <w:sz w:val="28"/>
          <w:szCs w:val="28"/>
        </w:rPr>
        <w:t>Table 1.</w:t>
      </w:r>
      <w:r>
        <w:rPr>
          <w:color w:val="000000"/>
          <w:sz w:val="28"/>
          <w:szCs w:val="28"/>
        </w:rPr>
        <w:t xml:space="preserve"> Dosage for nasal and sublingual administration in children </w:t>
      </w:r>
    </w:p>
    <w:p w:rsidR="00952059" w:rsidRPr="00B9316D" w:rsidRDefault="00952059" w:rsidP="000E7734">
      <w:pPr>
        <w:rPr>
          <w:noProof/>
          <w:sz w:val="28"/>
          <w:szCs w:val="28"/>
        </w:rPr>
      </w:pPr>
    </w:p>
    <w:p w:rsidR="00952059" w:rsidRPr="00B9316D" w:rsidRDefault="00422356" w:rsidP="000E7734">
      <w:pPr>
        <w:rPr>
          <w:noProof/>
          <w:sz w:val="28"/>
          <w:szCs w:val="28"/>
        </w:rPr>
      </w:pPr>
      <w:r>
        <w:rPr>
          <w:noProof/>
          <w:sz w:val="28"/>
          <w:szCs w:val="28"/>
          <w:lang w:val="ru-RU"/>
        </w:rPr>
        <w:drawing>
          <wp:inline distT="0" distB="0" distL="0" distR="0">
            <wp:extent cx="5848350" cy="1190625"/>
            <wp:effectExtent l="0" t="0" r="0" b="952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1190625"/>
                    </a:xfrm>
                    <a:prstGeom prst="rect">
                      <a:avLst/>
                    </a:prstGeom>
                    <a:noFill/>
                    <a:ln>
                      <a:noFill/>
                    </a:ln>
                  </pic:spPr>
                </pic:pic>
              </a:graphicData>
            </a:graphic>
          </wp:inline>
        </w:drawing>
      </w:r>
    </w:p>
    <w:p w:rsidR="00952059" w:rsidRPr="00B9316D" w:rsidRDefault="00952059" w:rsidP="000E7734">
      <w:pPr>
        <w:rPr>
          <w:color w:val="000000"/>
          <w:sz w:val="28"/>
          <w:szCs w:val="28"/>
          <w:lang w:eastAsia="en-US"/>
        </w:rPr>
      </w:pPr>
    </w:p>
    <w:tbl>
      <w:tblPr>
        <w:tblStyle w:val="TableGrid1"/>
        <w:tblW w:w="0" w:type="auto"/>
        <w:tblLook w:val="04A0" w:firstRow="1" w:lastRow="0" w:firstColumn="1" w:lastColumn="0" w:noHBand="0" w:noVBand="1"/>
      </w:tblPr>
      <w:tblGrid>
        <w:gridCol w:w="4668"/>
        <w:gridCol w:w="4677"/>
      </w:tblGrid>
      <w:tr w:rsidR="00374083" w:rsidRPr="00374083" w:rsidTr="00374083">
        <w:tc>
          <w:tcPr>
            <w:tcW w:w="4781" w:type="dxa"/>
          </w:tcPr>
          <w:p w:rsidR="00374083" w:rsidRPr="00374083" w:rsidRDefault="00374083" w:rsidP="00374083">
            <w:pPr>
              <w:jc w:val="center"/>
              <w:rPr>
                <w:b/>
                <w:sz w:val="22"/>
                <w:szCs w:val="22"/>
              </w:rPr>
            </w:pPr>
            <w:r w:rsidRPr="00374083">
              <w:rPr>
                <w:b/>
                <w:sz w:val="22"/>
                <w:szCs w:val="22"/>
              </w:rPr>
              <w:t>RUS</w:t>
            </w:r>
          </w:p>
        </w:tc>
        <w:tc>
          <w:tcPr>
            <w:tcW w:w="4790" w:type="dxa"/>
          </w:tcPr>
          <w:p w:rsidR="00374083" w:rsidRPr="00374083" w:rsidRDefault="00374083" w:rsidP="00374083">
            <w:pPr>
              <w:jc w:val="center"/>
              <w:rPr>
                <w:b/>
                <w:sz w:val="22"/>
                <w:szCs w:val="22"/>
              </w:rPr>
            </w:pPr>
            <w:r w:rsidRPr="00374083">
              <w:rPr>
                <w:b/>
                <w:sz w:val="22"/>
                <w:szCs w:val="22"/>
              </w:rPr>
              <w:t>ENG</w:t>
            </w:r>
          </w:p>
        </w:tc>
      </w:tr>
      <w:tr w:rsidR="00374083" w:rsidRPr="00374083" w:rsidTr="00374083">
        <w:tc>
          <w:tcPr>
            <w:tcW w:w="4781" w:type="dxa"/>
          </w:tcPr>
          <w:p w:rsidR="00374083" w:rsidRPr="00351202" w:rsidRDefault="00374083" w:rsidP="00374083">
            <w:pPr>
              <w:rPr>
                <w:lang w:val="ru-RU"/>
              </w:rPr>
            </w:pPr>
            <w:r>
              <w:rPr>
                <w:lang w:val="ru-RU"/>
              </w:rPr>
              <w:t>Вес ребенка, кг</w:t>
            </w:r>
          </w:p>
        </w:tc>
        <w:tc>
          <w:tcPr>
            <w:tcW w:w="4790" w:type="dxa"/>
          </w:tcPr>
          <w:p w:rsidR="00374083" w:rsidRPr="00374083" w:rsidRDefault="00374083" w:rsidP="00374083">
            <w:pPr>
              <w:rPr>
                <w:sz w:val="22"/>
                <w:szCs w:val="22"/>
              </w:rPr>
            </w:pPr>
            <w:r w:rsidRPr="00374083">
              <w:rPr>
                <w:sz w:val="22"/>
                <w:szCs w:val="22"/>
              </w:rPr>
              <w:t>Child’s body weight, kg</w:t>
            </w:r>
          </w:p>
        </w:tc>
      </w:tr>
      <w:tr w:rsidR="00374083" w:rsidRPr="00374083" w:rsidTr="00374083">
        <w:tc>
          <w:tcPr>
            <w:tcW w:w="4781" w:type="dxa"/>
          </w:tcPr>
          <w:p w:rsidR="00374083" w:rsidRPr="00351202" w:rsidRDefault="00374083" w:rsidP="00374083">
            <w:pPr>
              <w:rPr>
                <w:lang w:val="ru-RU"/>
              </w:rPr>
            </w:pPr>
            <w:r>
              <w:rPr>
                <w:lang w:val="ru-RU"/>
              </w:rPr>
              <w:t>Количество капель в сутки</w:t>
            </w:r>
          </w:p>
        </w:tc>
        <w:tc>
          <w:tcPr>
            <w:tcW w:w="4790" w:type="dxa"/>
          </w:tcPr>
          <w:p w:rsidR="00374083" w:rsidRPr="00374083" w:rsidRDefault="00374083" w:rsidP="00374083">
            <w:pPr>
              <w:rPr>
                <w:sz w:val="22"/>
                <w:szCs w:val="22"/>
              </w:rPr>
            </w:pPr>
            <w:r w:rsidRPr="00374083">
              <w:rPr>
                <w:sz w:val="22"/>
                <w:szCs w:val="22"/>
              </w:rPr>
              <w:t>Number of drops per day</w:t>
            </w:r>
          </w:p>
        </w:tc>
      </w:tr>
      <w:tr w:rsidR="00374083" w:rsidRPr="00374083" w:rsidTr="00374083">
        <w:tc>
          <w:tcPr>
            <w:tcW w:w="4781" w:type="dxa"/>
          </w:tcPr>
          <w:p w:rsidR="00374083" w:rsidRPr="00351202" w:rsidRDefault="00374083" w:rsidP="00374083">
            <w:pPr>
              <w:rPr>
                <w:lang w:val="ru-RU"/>
              </w:rPr>
            </w:pPr>
            <w:r>
              <w:rPr>
                <w:lang w:val="ru-RU"/>
              </w:rPr>
              <w:lastRenderedPageBreak/>
              <w:t>1 капля на 1 кг веса, но не более 40 капель</w:t>
            </w:r>
          </w:p>
        </w:tc>
        <w:tc>
          <w:tcPr>
            <w:tcW w:w="4790" w:type="dxa"/>
          </w:tcPr>
          <w:p w:rsidR="00374083" w:rsidRPr="00374083" w:rsidRDefault="00374083" w:rsidP="00374083">
            <w:pPr>
              <w:rPr>
                <w:sz w:val="22"/>
                <w:szCs w:val="22"/>
              </w:rPr>
            </w:pPr>
            <w:r w:rsidRPr="00374083">
              <w:rPr>
                <w:sz w:val="22"/>
                <w:szCs w:val="22"/>
              </w:rPr>
              <w:t>1 drop per kg of body weight, but not more than 40 drops</w:t>
            </w:r>
          </w:p>
        </w:tc>
      </w:tr>
      <w:tr w:rsidR="00374083" w:rsidRPr="00374083" w:rsidTr="00374083">
        <w:tc>
          <w:tcPr>
            <w:tcW w:w="4781" w:type="dxa"/>
          </w:tcPr>
          <w:p w:rsidR="00374083" w:rsidRPr="00351202" w:rsidRDefault="00374083" w:rsidP="00374083">
            <w:pPr>
              <w:rPr>
                <w:lang w:val="ru-RU"/>
              </w:rPr>
            </w:pPr>
            <w:r>
              <w:rPr>
                <w:lang w:val="ru-RU"/>
              </w:rPr>
              <w:t>Объем вводимого раствора</w:t>
            </w:r>
          </w:p>
        </w:tc>
        <w:tc>
          <w:tcPr>
            <w:tcW w:w="4790" w:type="dxa"/>
          </w:tcPr>
          <w:p w:rsidR="00374083" w:rsidRPr="00374083" w:rsidRDefault="00374083" w:rsidP="00374083">
            <w:pPr>
              <w:rPr>
                <w:sz w:val="22"/>
                <w:szCs w:val="22"/>
              </w:rPr>
            </w:pPr>
            <w:r w:rsidRPr="00374083">
              <w:rPr>
                <w:sz w:val="22"/>
                <w:szCs w:val="22"/>
              </w:rPr>
              <w:t>Amount of solution to administer</w:t>
            </w:r>
          </w:p>
        </w:tc>
      </w:tr>
      <w:tr w:rsidR="00374083" w:rsidRPr="00374083" w:rsidTr="00374083">
        <w:tc>
          <w:tcPr>
            <w:tcW w:w="4781" w:type="dxa"/>
          </w:tcPr>
          <w:p w:rsidR="00374083" w:rsidRPr="00351202" w:rsidRDefault="00374083" w:rsidP="00374083">
            <w:pPr>
              <w:rPr>
                <w:lang w:val="ru-RU"/>
              </w:rPr>
            </w:pPr>
            <w:r>
              <w:rPr>
                <w:lang w:val="ru-RU"/>
              </w:rPr>
              <w:t>0,25 мл</w:t>
            </w:r>
          </w:p>
        </w:tc>
        <w:tc>
          <w:tcPr>
            <w:tcW w:w="4790" w:type="dxa"/>
          </w:tcPr>
          <w:p w:rsidR="00374083" w:rsidRPr="00374083" w:rsidRDefault="00374083" w:rsidP="00374083">
            <w:pPr>
              <w:rPr>
                <w:sz w:val="22"/>
                <w:szCs w:val="22"/>
              </w:rPr>
            </w:pPr>
            <w:r w:rsidRPr="00374083">
              <w:rPr>
                <w:sz w:val="22"/>
                <w:szCs w:val="22"/>
              </w:rPr>
              <w:t>0.25 mL</w:t>
            </w:r>
          </w:p>
        </w:tc>
      </w:tr>
      <w:tr w:rsidR="00374083" w:rsidRPr="00374083" w:rsidTr="00374083">
        <w:tc>
          <w:tcPr>
            <w:tcW w:w="4781" w:type="dxa"/>
          </w:tcPr>
          <w:p w:rsidR="00374083" w:rsidRPr="00351202" w:rsidRDefault="00374083" w:rsidP="00374083">
            <w:pPr>
              <w:rPr>
                <w:lang w:val="ru-RU"/>
              </w:rPr>
            </w:pPr>
            <w:r>
              <w:rPr>
                <w:lang w:val="ru-RU"/>
              </w:rPr>
              <w:t>0,5 мл</w:t>
            </w:r>
          </w:p>
        </w:tc>
        <w:tc>
          <w:tcPr>
            <w:tcW w:w="4790" w:type="dxa"/>
          </w:tcPr>
          <w:p w:rsidR="00374083" w:rsidRPr="00374083" w:rsidRDefault="00374083" w:rsidP="00374083">
            <w:pPr>
              <w:rPr>
                <w:sz w:val="22"/>
                <w:szCs w:val="22"/>
              </w:rPr>
            </w:pPr>
            <w:r w:rsidRPr="00374083">
              <w:rPr>
                <w:sz w:val="22"/>
                <w:szCs w:val="22"/>
              </w:rPr>
              <w:t>0.5 mL</w:t>
            </w:r>
          </w:p>
        </w:tc>
      </w:tr>
      <w:tr w:rsidR="00374083" w:rsidRPr="00374083" w:rsidTr="00374083">
        <w:tc>
          <w:tcPr>
            <w:tcW w:w="4781" w:type="dxa"/>
          </w:tcPr>
          <w:p w:rsidR="00374083" w:rsidRPr="00351202" w:rsidRDefault="00374083" w:rsidP="00374083">
            <w:pPr>
              <w:rPr>
                <w:lang w:val="ru-RU"/>
              </w:rPr>
            </w:pPr>
            <w:r>
              <w:rPr>
                <w:lang w:val="ru-RU"/>
              </w:rPr>
              <w:t>0,75 мл</w:t>
            </w:r>
          </w:p>
        </w:tc>
        <w:tc>
          <w:tcPr>
            <w:tcW w:w="4790" w:type="dxa"/>
          </w:tcPr>
          <w:p w:rsidR="00374083" w:rsidRPr="00374083" w:rsidRDefault="00374083" w:rsidP="00374083">
            <w:pPr>
              <w:rPr>
                <w:sz w:val="22"/>
                <w:szCs w:val="22"/>
              </w:rPr>
            </w:pPr>
            <w:r w:rsidRPr="00374083">
              <w:rPr>
                <w:sz w:val="22"/>
                <w:szCs w:val="22"/>
              </w:rPr>
              <w:t>0.75 mL</w:t>
            </w:r>
          </w:p>
        </w:tc>
      </w:tr>
      <w:tr w:rsidR="00374083" w:rsidRPr="00374083" w:rsidTr="00374083">
        <w:tc>
          <w:tcPr>
            <w:tcW w:w="4781" w:type="dxa"/>
          </w:tcPr>
          <w:p w:rsidR="00374083" w:rsidRDefault="00374083" w:rsidP="00374083">
            <w:pPr>
              <w:rPr>
                <w:lang w:val="ru-RU"/>
              </w:rPr>
            </w:pPr>
            <w:r>
              <w:rPr>
                <w:lang w:val="ru-RU"/>
              </w:rPr>
              <w:t>1 мл</w:t>
            </w:r>
          </w:p>
        </w:tc>
        <w:tc>
          <w:tcPr>
            <w:tcW w:w="4790" w:type="dxa"/>
          </w:tcPr>
          <w:p w:rsidR="00374083" w:rsidRPr="00374083" w:rsidRDefault="00374083" w:rsidP="00374083">
            <w:pPr>
              <w:rPr>
                <w:sz w:val="22"/>
                <w:szCs w:val="22"/>
              </w:rPr>
            </w:pPr>
            <w:r w:rsidRPr="00374083">
              <w:rPr>
                <w:sz w:val="22"/>
                <w:szCs w:val="22"/>
              </w:rPr>
              <w:t>1 mL</w:t>
            </w:r>
          </w:p>
        </w:tc>
      </w:tr>
      <w:tr w:rsidR="00374083" w:rsidRPr="00374083" w:rsidTr="00374083">
        <w:tc>
          <w:tcPr>
            <w:tcW w:w="4781" w:type="dxa"/>
          </w:tcPr>
          <w:p w:rsidR="00374083" w:rsidRDefault="00374083" w:rsidP="00374083">
            <w:pPr>
              <w:rPr>
                <w:lang w:val="ru-RU"/>
              </w:rPr>
            </w:pPr>
            <w:r>
              <w:rPr>
                <w:lang w:val="ru-RU"/>
              </w:rPr>
              <w:t>не более 2 мл</w:t>
            </w:r>
          </w:p>
        </w:tc>
        <w:tc>
          <w:tcPr>
            <w:tcW w:w="4790" w:type="dxa"/>
          </w:tcPr>
          <w:p w:rsidR="00374083" w:rsidRPr="00374083" w:rsidRDefault="00374083" w:rsidP="00374083">
            <w:pPr>
              <w:rPr>
                <w:sz w:val="22"/>
                <w:szCs w:val="22"/>
              </w:rPr>
            </w:pPr>
            <w:r w:rsidRPr="00374083">
              <w:rPr>
                <w:sz w:val="22"/>
                <w:szCs w:val="22"/>
              </w:rPr>
              <w:t>up to 2 mL</w:t>
            </w:r>
          </w:p>
        </w:tc>
      </w:tr>
    </w:tbl>
    <w:p w:rsidR="00952059" w:rsidRDefault="00952059" w:rsidP="000E7734">
      <w:pPr>
        <w:spacing w:line="360" w:lineRule="auto"/>
        <w:rPr>
          <w:color w:val="000000"/>
          <w:sz w:val="28"/>
          <w:szCs w:val="28"/>
          <w:lang w:eastAsia="en-US"/>
        </w:rPr>
      </w:pPr>
    </w:p>
    <w:p w:rsidR="00952059" w:rsidRPr="00B9316D" w:rsidRDefault="00952059" w:rsidP="000E7734">
      <w:pPr>
        <w:spacing w:line="360" w:lineRule="auto"/>
        <w:rPr>
          <w:color w:val="000000"/>
          <w:sz w:val="28"/>
          <w:szCs w:val="28"/>
        </w:rPr>
      </w:pPr>
      <w:r>
        <w:rPr>
          <w:color w:val="000000"/>
          <w:sz w:val="28"/>
          <w:szCs w:val="28"/>
        </w:rPr>
        <w:t>A daily amount should be administered nasally or sublingually in 3–4 doses over the day.</w:t>
      </w:r>
    </w:p>
    <w:p w:rsidR="00952059" w:rsidRPr="00B9316D" w:rsidRDefault="00952059" w:rsidP="000E7734">
      <w:pPr>
        <w:rPr>
          <w:sz w:val="28"/>
          <w:szCs w:val="28"/>
        </w:rPr>
      </w:pPr>
      <w:r>
        <w:rPr>
          <w:sz w:val="28"/>
          <w:szCs w:val="28"/>
        </w:rPr>
        <w:t>Use for 5–10 days.</w:t>
      </w:r>
    </w:p>
    <w:p w:rsidR="00952059" w:rsidRDefault="00952059" w:rsidP="00266F1E">
      <w:pPr>
        <w:rPr>
          <w:b/>
          <w:bCs/>
          <w:sz w:val="28"/>
          <w:szCs w:val="28"/>
          <w:lang w:eastAsia="en-US"/>
        </w:rPr>
      </w:pPr>
    </w:p>
    <w:p w:rsidR="00952059" w:rsidRDefault="00952059" w:rsidP="007606F0">
      <w:pPr>
        <w:rPr>
          <w:sz w:val="28"/>
          <w:szCs w:val="28"/>
          <w:lang w:eastAsia="en-US"/>
        </w:rPr>
      </w:pPr>
    </w:p>
    <w:p w:rsidR="00952059" w:rsidRPr="00C3758D" w:rsidRDefault="00952059" w:rsidP="007606F0">
      <w:pPr>
        <w:rPr>
          <w:b/>
          <w:sz w:val="28"/>
          <w:szCs w:val="28"/>
        </w:rPr>
      </w:pPr>
      <w:r>
        <w:rPr>
          <w:b/>
          <w:sz w:val="28"/>
          <w:szCs w:val="28"/>
        </w:rPr>
        <w:t>Rules for sublingual and nasal administration</w:t>
      </w:r>
    </w:p>
    <w:p w:rsidR="00952059" w:rsidRPr="00DF00D2" w:rsidRDefault="00952059" w:rsidP="007606F0">
      <w:pPr>
        <w:rPr>
          <w:i/>
          <w:sz w:val="24"/>
          <w:szCs w:val="24"/>
          <w:lang w:eastAsia="en-US"/>
        </w:rPr>
      </w:pPr>
    </w:p>
    <w:p w:rsidR="00952059" w:rsidRPr="00DA6F27" w:rsidRDefault="00422356" w:rsidP="00B8005D">
      <w:pPr>
        <w:tabs>
          <w:tab w:val="center" w:pos="3402"/>
        </w:tabs>
        <w:spacing w:line="360" w:lineRule="auto"/>
        <w:ind w:right="141"/>
        <w:jc w:val="both"/>
        <w:rPr>
          <w:noProof/>
        </w:rPr>
      </w:pPr>
      <w:r>
        <w:rPr>
          <w:noProof/>
          <w:sz w:val="28"/>
          <w:szCs w:val="28"/>
          <w:lang w:val="ru-RU"/>
        </w:rPr>
        <w:drawing>
          <wp:inline distT="0" distB="0" distL="0" distR="0">
            <wp:extent cx="1466850" cy="1447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447800"/>
                    </a:xfrm>
                    <a:prstGeom prst="rect">
                      <a:avLst/>
                    </a:prstGeom>
                    <a:noFill/>
                    <a:ln>
                      <a:noFill/>
                    </a:ln>
                  </pic:spPr>
                </pic:pic>
              </a:graphicData>
            </a:graphic>
          </wp:inline>
        </w:drawing>
      </w:r>
      <w:r>
        <w:rPr>
          <w:sz w:val="28"/>
          <w:szCs w:val="28"/>
        </w:rPr>
        <w:t xml:space="preserve">  </w:t>
      </w:r>
      <w:r>
        <w:rPr>
          <w:noProof/>
          <w:lang w:val="ru-RU"/>
        </w:rPr>
        <w:drawing>
          <wp:inline distT="0" distB="0" distL="0" distR="0">
            <wp:extent cx="1485900" cy="1447799"/>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6731" cy="1448608"/>
                    </a:xfrm>
                    <a:prstGeom prst="rect">
                      <a:avLst/>
                    </a:prstGeom>
                    <a:noFill/>
                    <a:ln>
                      <a:noFill/>
                    </a:ln>
                  </pic:spPr>
                </pic:pic>
              </a:graphicData>
            </a:graphic>
          </wp:inline>
        </w:drawing>
      </w:r>
      <w:r>
        <w:rPr>
          <w:sz w:val="28"/>
          <w:szCs w:val="28"/>
        </w:rPr>
        <w:t xml:space="preserve">  </w:t>
      </w:r>
      <w:r>
        <w:rPr>
          <w:noProof/>
          <w:lang w:val="ru-RU"/>
        </w:rPr>
        <w:drawing>
          <wp:inline distT="0" distB="0" distL="0" distR="0">
            <wp:extent cx="1438275" cy="1409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1409700"/>
                    </a:xfrm>
                    <a:prstGeom prst="rect">
                      <a:avLst/>
                    </a:prstGeom>
                    <a:noFill/>
                    <a:ln>
                      <a:noFill/>
                    </a:ln>
                  </pic:spPr>
                </pic:pic>
              </a:graphicData>
            </a:graphic>
          </wp:inline>
        </w:drawing>
      </w:r>
      <w:r>
        <w:rPr>
          <w:sz w:val="28"/>
          <w:szCs w:val="28"/>
        </w:rPr>
        <w:br w:type="textWrapping" w:clear="all"/>
      </w:r>
      <w:r>
        <w:t xml:space="preserve">              Fig. 1                                                            Fig. 2                                                       Fig. 3</w:t>
      </w:r>
    </w:p>
    <w:p w:rsidR="00952059" w:rsidRDefault="00422356" w:rsidP="00E875A6">
      <w:pPr>
        <w:tabs>
          <w:tab w:val="left" w:pos="6946"/>
        </w:tabs>
        <w:spacing w:line="360" w:lineRule="auto"/>
        <w:jc w:val="both"/>
        <w:rPr>
          <w:noProof/>
          <w:sz w:val="28"/>
          <w:szCs w:val="28"/>
        </w:rPr>
      </w:pPr>
      <w:r>
        <w:rPr>
          <w:noProof/>
          <w:lang w:val="ru-RU"/>
        </w:rPr>
        <w:drawing>
          <wp:inline distT="0" distB="0" distL="0" distR="0">
            <wp:extent cx="1504950" cy="1476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1476375"/>
                    </a:xfrm>
                    <a:prstGeom prst="rect">
                      <a:avLst/>
                    </a:prstGeom>
                    <a:noFill/>
                    <a:ln>
                      <a:noFill/>
                    </a:ln>
                  </pic:spPr>
                </pic:pic>
              </a:graphicData>
            </a:graphic>
          </wp:inline>
        </w:drawing>
      </w:r>
      <w:r>
        <w:rPr>
          <w:sz w:val="28"/>
          <w:szCs w:val="28"/>
        </w:rPr>
        <w:t xml:space="preserve">               </w:t>
      </w:r>
      <w:r>
        <w:rPr>
          <w:noProof/>
          <w:lang w:val="ru-RU"/>
        </w:rPr>
        <w:drawing>
          <wp:inline distT="0" distB="0" distL="0" distR="0">
            <wp:extent cx="1533525" cy="1504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504950"/>
                    </a:xfrm>
                    <a:prstGeom prst="rect">
                      <a:avLst/>
                    </a:prstGeom>
                    <a:noFill/>
                    <a:ln>
                      <a:noFill/>
                    </a:ln>
                  </pic:spPr>
                </pic:pic>
              </a:graphicData>
            </a:graphic>
          </wp:inline>
        </w:drawing>
      </w:r>
      <w:r>
        <w:rPr>
          <w:sz w:val="28"/>
          <w:szCs w:val="28"/>
        </w:rPr>
        <w:t xml:space="preserve">                </w:t>
      </w:r>
      <w:r>
        <w:rPr>
          <w:noProof/>
          <w:lang w:val="ru-RU"/>
        </w:rPr>
        <w:drawing>
          <wp:inline distT="0" distB="0" distL="0" distR="0">
            <wp:extent cx="1371600" cy="1562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562100"/>
                    </a:xfrm>
                    <a:prstGeom prst="rect">
                      <a:avLst/>
                    </a:prstGeom>
                    <a:noFill/>
                    <a:ln>
                      <a:noFill/>
                    </a:ln>
                  </pic:spPr>
                </pic:pic>
              </a:graphicData>
            </a:graphic>
          </wp:inline>
        </w:drawing>
      </w:r>
    </w:p>
    <w:p w:rsidR="00952059" w:rsidRPr="00AB4DEB" w:rsidRDefault="00E875A6" w:rsidP="00E875A6">
      <w:pPr>
        <w:tabs>
          <w:tab w:val="left" w:pos="3045"/>
          <w:tab w:val="left" w:pos="5625"/>
        </w:tabs>
        <w:spacing w:line="360" w:lineRule="auto"/>
        <w:rPr>
          <w:noProof/>
        </w:rPr>
      </w:pPr>
      <w:r>
        <w:t xml:space="preserve">               Fig. 4</w:t>
      </w:r>
      <w:r>
        <w:tab/>
        <w:t xml:space="preserve">                         Fig. 5                                                       Fig. 6                     </w:t>
      </w:r>
      <w:r>
        <w:rPr>
          <w:noProof/>
          <w:sz w:val="28"/>
          <w:szCs w:val="28"/>
          <w:lang w:val="ru-RU"/>
        </w:rPr>
        <w:drawing>
          <wp:inline distT="0" distB="0" distL="0" distR="0">
            <wp:extent cx="1514475" cy="1524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4475" cy="1524000"/>
                    </a:xfrm>
                    <a:prstGeom prst="rect">
                      <a:avLst/>
                    </a:prstGeom>
                    <a:noFill/>
                    <a:ln>
                      <a:noFill/>
                    </a:ln>
                  </pic:spPr>
                </pic:pic>
              </a:graphicData>
            </a:graphic>
          </wp:inline>
        </w:drawing>
      </w:r>
      <w:r>
        <w:rPr>
          <w:sz w:val="28"/>
          <w:szCs w:val="28"/>
        </w:rPr>
        <w:t xml:space="preserve">             </w:t>
      </w:r>
      <w:r>
        <w:rPr>
          <w:noProof/>
          <w:lang w:val="ru-RU"/>
        </w:rPr>
        <w:drawing>
          <wp:inline distT="0" distB="0" distL="0" distR="0">
            <wp:extent cx="1543050" cy="1514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514475"/>
                    </a:xfrm>
                    <a:prstGeom prst="rect">
                      <a:avLst/>
                    </a:prstGeom>
                    <a:noFill/>
                    <a:ln>
                      <a:noFill/>
                    </a:ln>
                  </pic:spPr>
                </pic:pic>
              </a:graphicData>
            </a:graphic>
          </wp:inline>
        </w:drawing>
      </w:r>
      <w:r>
        <w:rPr>
          <w:sz w:val="28"/>
          <w:szCs w:val="28"/>
        </w:rPr>
        <w:t xml:space="preserve">             </w:t>
      </w:r>
      <w:r>
        <w:rPr>
          <w:noProof/>
          <w:lang w:val="ru-RU"/>
        </w:rPr>
        <w:drawing>
          <wp:inline distT="0" distB="0" distL="0" distR="0">
            <wp:extent cx="1543050" cy="1543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952059" w:rsidRPr="002C3DB5" w:rsidRDefault="00952059" w:rsidP="002C3DB5">
      <w:pPr>
        <w:spacing w:line="360" w:lineRule="auto"/>
        <w:ind w:firstLine="708"/>
        <w:jc w:val="both"/>
        <w:rPr>
          <w:noProof/>
        </w:rPr>
      </w:pPr>
      <w:r>
        <w:t>Fig. 7                                                             Fig. 8                                                         Fig. 9</w:t>
      </w:r>
    </w:p>
    <w:p w:rsidR="00952059" w:rsidRPr="00B9316D" w:rsidRDefault="00952059" w:rsidP="007606F0">
      <w:pPr>
        <w:spacing w:line="360" w:lineRule="auto"/>
        <w:jc w:val="both"/>
        <w:rPr>
          <w:color w:val="000000"/>
          <w:sz w:val="28"/>
          <w:szCs w:val="28"/>
        </w:rPr>
      </w:pPr>
    </w:p>
    <w:p w:rsidR="00952059" w:rsidRPr="00B8005D" w:rsidRDefault="00952059" w:rsidP="001471F8">
      <w:pPr>
        <w:spacing w:line="360" w:lineRule="auto"/>
        <w:jc w:val="both"/>
        <w:rPr>
          <w:b/>
          <w:color w:val="000000"/>
          <w:sz w:val="28"/>
          <w:szCs w:val="28"/>
        </w:rPr>
      </w:pPr>
      <w:r>
        <w:rPr>
          <w:b/>
          <w:color w:val="000000"/>
          <w:sz w:val="28"/>
          <w:szCs w:val="28"/>
        </w:rPr>
        <w:lastRenderedPageBreak/>
        <w:t>Preparation for use</w:t>
      </w:r>
    </w:p>
    <w:p w:rsidR="00952059" w:rsidRDefault="00952059" w:rsidP="001471F8">
      <w:pPr>
        <w:spacing w:line="360" w:lineRule="auto"/>
        <w:jc w:val="both"/>
        <w:rPr>
          <w:color w:val="000000"/>
          <w:sz w:val="28"/>
          <w:szCs w:val="28"/>
        </w:rPr>
      </w:pPr>
      <w:r>
        <w:rPr>
          <w:color w:val="000000"/>
          <w:sz w:val="28"/>
          <w:szCs w:val="28"/>
        </w:rPr>
        <w:t>Figure 1. Wash your hands thoroughly.</w:t>
      </w:r>
    </w:p>
    <w:p w:rsidR="00952059" w:rsidRDefault="00952059" w:rsidP="001471F8">
      <w:pPr>
        <w:spacing w:line="360" w:lineRule="auto"/>
        <w:jc w:val="both"/>
        <w:rPr>
          <w:color w:val="000000"/>
          <w:sz w:val="28"/>
          <w:szCs w:val="28"/>
        </w:rPr>
      </w:pPr>
      <w:r>
        <w:rPr>
          <w:color w:val="000000"/>
          <w:sz w:val="28"/>
          <w:szCs w:val="28"/>
        </w:rPr>
        <w:t xml:space="preserve">Figure 2. Remove syringe from carton. Remove external individual plastic packaging. </w:t>
      </w:r>
    </w:p>
    <w:p w:rsidR="00952059" w:rsidRDefault="00952059" w:rsidP="001471F8">
      <w:pPr>
        <w:spacing w:line="360" w:lineRule="auto"/>
        <w:jc w:val="both"/>
        <w:rPr>
          <w:color w:val="000000"/>
          <w:sz w:val="28"/>
          <w:szCs w:val="28"/>
        </w:rPr>
      </w:pPr>
      <w:r>
        <w:rPr>
          <w:color w:val="000000"/>
          <w:sz w:val="28"/>
          <w:szCs w:val="28"/>
        </w:rPr>
        <w:t>Figure 3. Do not use needle to instill drops into nasal passages or under tongue.</w:t>
      </w:r>
    </w:p>
    <w:p w:rsidR="00952059" w:rsidRPr="00B8005D" w:rsidRDefault="00952059" w:rsidP="001471F8">
      <w:pPr>
        <w:spacing w:line="360" w:lineRule="auto"/>
        <w:jc w:val="both"/>
        <w:rPr>
          <w:color w:val="000000"/>
          <w:sz w:val="28"/>
          <w:szCs w:val="28"/>
        </w:rPr>
      </w:pPr>
      <w:r>
        <w:rPr>
          <w:color w:val="000000"/>
          <w:sz w:val="28"/>
          <w:szCs w:val="28"/>
        </w:rPr>
        <w:t>To administer drug into nasal passages:</w:t>
      </w:r>
    </w:p>
    <w:p w:rsidR="00952059" w:rsidRDefault="00952059" w:rsidP="001471F8">
      <w:pPr>
        <w:spacing w:line="360" w:lineRule="auto"/>
        <w:jc w:val="both"/>
        <w:rPr>
          <w:color w:val="000000"/>
          <w:sz w:val="28"/>
          <w:szCs w:val="28"/>
        </w:rPr>
      </w:pPr>
      <w:r>
        <w:rPr>
          <w:color w:val="000000"/>
          <w:sz w:val="28"/>
          <w:szCs w:val="28"/>
        </w:rPr>
        <w:t>Figure 4. Remove mucus from nasal cavities.</w:t>
      </w:r>
    </w:p>
    <w:p w:rsidR="00952059" w:rsidRDefault="00952059" w:rsidP="001471F8">
      <w:pPr>
        <w:spacing w:line="360" w:lineRule="auto"/>
        <w:jc w:val="both"/>
        <w:rPr>
          <w:color w:val="000000"/>
          <w:sz w:val="28"/>
          <w:szCs w:val="28"/>
        </w:rPr>
      </w:pPr>
      <w:r>
        <w:rPr>
          <w:color w:val="000000"/>
          <w:sz w:val="28"/>
          <w:szCs w:val="28"/>
        </w:rPr>
        <w:t>Figure 5. Get yourself (or patient) into comfortable position (sit or lie on your back), with head tilted back slightly. Instill half of drops required into one nasal passage (see Tab. 1).</w:t>
      </w:r>
    </w:p>
    <w:p w:rsidR="00952059" w:rsidRDefault="00952059" w:rsidP="001471F8">
      <w:pPr>
        <w:spacing w:line="360" w:lineRule="auto"/>
        <w:jc w:val="both"/>
        <w:rPr>
          <w:color w:val="000000"/>
          <w:sz w:val="28"/>
          <w:szCs w:val="28"/>
        </w:rPr>
      </w:pPr>
      <w:r>
        <w:rPr>
          <w:color w:val="000000"/>
          <w:sz w:val="28"/>
          <w:szCs w:val="28"/>
        </w:rPr>
        <w:t>Figure 6. Press nostril against nasal septum with your finger to prevent solution from flowing out. Hold it for 20–25 seconds. Instill remaining dose into other nasal passage.</w:t>
      </w:r>
    </w:p>
    <w:p w:rsidR="00952059" w:rsidRDefault="00B8005D" w:rsidP="001471F8">
      <w:pPr>
        <w:spacing w:line="360" w:lineRule="auto"/>
        <w:jc w:val="both"/>
        <w:rPr>
          <w:color w:val="000000"/>
          <w:sz w:val="28"/>
          <w:szCs w:val="28"/>
        </w:rPr>
      </w:pPr>
      <w:r>
        <w:rPr>
          <w:color w:val="000000"/>
          <w:sz w:val="28"/>
          <w:szCs w:val="28"/>
        </w:rPr>
        <w:t>To administer drug sublingually:</w:t>
      </w:r>
    </w:p>
    <w:p w:rsidR="00952059" w:rsidRDefault="00952059" w:rsidP="001471F8">
      <w:pPr>
        <w:spacing w:line="360" w:lineRule="auto"/>
        <w:jc w:val="both"/>
        <w:rPr>
          <w:color w:val="000000"/>
          <w:sz w:val="28"/>
          <w:szCs w:val="28"/>
        </w:rPr>
      </w:pPr>
      <w:r>
        <w:rPr>
          <w:color w:val="000000"/>
          <w:sz w:val="28"/>
          <w:szCs w:val="28"/>
        </w:rPr>
        <w:t>Figure 7. Do not eat or drink for 20 minutes before and after administration.</w:t>
      </w:r>
    </w:p>
    <w:p w:rsidR="00952059" w:rsidRDefault="00952059" w:rsidP="001471F8">
      <w:pPr>
        <w:spacing w:line="360" w:lineRule="auto"/>
        <w:jc w:val="both"/>
        <w:rPr>
          <w:color w:val="000000"/>
          <w:sz w:val="28"/>
          <w:szCs w:val="28"/>
        </w:rPr>
      </w:pPr>
      <w:r>
        <w:rPr>
          <w:color w:val="000000"/>
          <w:sz w:val="28"/>
          <w:szCs w:val="28"/>
        </w:rPr>
        <w:t xml:space="preserve">Figure 8. Instill drops under tongue (see Tab. 1). </w:t>
      </w:r>
    </w:p>
    <w:p w:rsidR="00952059" w:rsidRDefault="00952059" w:rsidP="001471F8">
      <w:pPr>
        <w:spacing w:line="360" w:lineRule="auto"/>
        <w:jc w:val="both"/>
        <w:rPr>
          <w:color w:val="000000"/>
          <w:sz w:val="28"/>
          <w:szCs w:val="28"/>
        </w:rPr>
      </w:pPr>
      <w:r>
        <w:rPr>
          <w:color w:val="000000"/>
          <w:sz w:val="28"/>
          <w:szCs w:val="28"/>
        </w:rPr>
        <w:t>Figure 9. Drug has neutral taste and does not need to be taken with water.</w:t>
      </w:r>
    </w:p>
    <w:p w:rsidR="00952059" w:rsidRPr="001471F8" w:rsidRDefault="00952059" w:rsidP="00C22AE1">
      <w:pPr>
        <w:spacing w:line="360" w:lineRule="auto"/>
        <w:rPr>
          <w:sz w:val="28"/>
          <w:szCs w:val="28"/>
        </w:rPr>
      </w:pPr>
      <w:r>
        <w:rPr>
          <w:sz w:val="28"/>
          <w:szCs w:val="28"/>
        </w:rPr>
        <w:t>After administration:</w:t>
      </w:r>
    </w:p>
    <w:p w:rsidR="00952059" w:rsidRDefault="00952059" w:rsidP="00C22AE1">
      <w:pPr>
        <w:spacing w:line="360" w:lineRule="auto"/>
        <w:rPr>
          <w:sz w:val="28"/>
          <w:szCs w:val="28"/>
        </w:rPr>
      </w:pPr>
      <w:r>
        <w:rPr>
          <w:sz w:val="28"/>
          <w:szCs w:val="28"/>
        </w:rPr>
        <w:t xml:space="preserve">Place cap on syringe. Once unpacked, syringe used for nasal or sublingual administration can be stored in refrigerator for no more than 7 days. </w:t>
      </w:r>
    </w:p>
    <w:p w:rsidR="00952059" w:rsidRPr="00B9316D" w:rsidRDefault="00952059" w:rsidP="000507FC">
      <w:pPr>
        <w:pStyle w:val="11"/>
        <w:spacing w:before="120" w:line="360" w:lineRule="auto"/>
        <w:ind w:right="-142"/>
        <w:jc w:val="both"/>
        <w:rPr>
          <w:b/>
          <w:color w:val="000000"/>
          <w:sz w:val="28"/>
          <w:szCs w:val="28"/>
        </w:rPr>
      </w:pPr>
      <w:r>
        <w:rPr>
          <w:b/>
          <w:color w:val="000000"/>
          <w:sz w:val="28"/>
          <w:szCs w:val="28"/>
        </w:rPr>
        <w:t xml:space="preserve">Side effects </w:t>
      </w:r>
    </w:p>
    <w:p w:rsidR="00952059" w:rsidRPr="00B9316D" w:rsidRDefault="00952059" w:rsidP="005E7AF0">
      <w:pPr>
        <w:spacing w:line="360" w:lineRule="auto"/>
        <w:ind w:right="106"/>
        <w:jc w:val="both"/>
        <w:rPr>
          <w:sz w:val="28"/>
          <w:szCs w:val="28"/>
        </w:rPr>
      </w:pPr>
      <w:r>
        <w:rPr>
          <w:sz w:val="28"/>
          <w:szCs w:val="28"/>
        </w:rPr>
        <w:t>The following general and local reactions have been reported while using Polyoxidonium</w:t>
      </w:r>
      <w:r>
        <w:rPr>
          <w:sz w:val="28"/>
          <w:szCs w:val="28"/>
          <w:vertAlign w:val="superscript"/>
        </w:rPr>
        <w:t>®</w:t>
      </w:r>
      <w:r>
        <w:rPr>
          <w:sz w:val="28"/>
          <w:szCs w:val="28"/>
        </w:rPr>
        <w:t xml:space="preserve">: </w:t>
      </w:r>
    </w:p>
    <w:p w:rsidR="00952059" w:rsidRPr="00B9316D" w:rsidRDefault="00952059" w:rsidP="005E7AF0">
      <w:pPr>
        <w:spacing w:line="360" w:lineRule="auto"/>
        <w:ind w:right="106"/>
        <w:jc w:val="both"/>
        <w:rPr>
          <w:sz w:val="28"/>
          <w:szCs w:val="28"/>
        </w:rPr>
      </w:pPr>
      <w:r>
        <w:rPr>
          <w:sz w:val="28"/>
          <w:szCs w:val="28"/>
        </w:rPr>
        <w:t>Uncommon (</w:t>
      </w:r>
      <w:r>
        <w:rPr>
          <w:sz w:val="28"/>
          <w:szCs w:val="28"/>
        </w:rPr>
        <w:sym w:font="Symbol" w:char="F0B3"/>
      </w:r>
      <w:r>
        <w:rPr>
          <w:sz w:val="28"/>
          <w:szCs w:val="28"/>
        </w:rPr>
        <w:t> 1/1,000 to &lt; 1/100): tenderness, redness or thickening of the skin at the site of parenteral administration.</w:t>
      </w:r>
    </w:p>
    <w:p w:rsidR="00952059" w:rsidRPr="00B9316D" w:rsidRDefault="00952059" w:rsidP="005E7AF0">
      <w:pPr>
        <w:spacing w:line="360" w:lineRule="auto"/>
        <w:ind w:right="106"/>
        <w:jc w:val="both"/>
        <w:rPr>
          <w:sz w:val="28"/>
          <w:szCs w:val="28"/>
        </w:rPr>
      </w:pPr>
      <w:r>
        <w:rPr>
          <w:sz w:val="28"/>
          <w:szCs w:val="28"/>
        </w:rPr>
        <w:t>Very rare (&gt; 1/10,000): body temperature rising to 37.3°C, slight anxiety, chills during the first hour after injection.</w:t>
      </w:r>
    </w:p>
    <w:p w:rsidR="00952059" w:rsidRPr="00B9316D" w:rsidRDefault="00952059" w:rsidP="004177C8">
      <w:pPr>
        <w:autoSpaceDE w:val="0"/>
        <w:autoSpaceDN w:val="0"/>
        <w:adjustRightInd w:val="0"/>
        <w:spacing w:line="360" w:lineRule="auto"/>
        <w:jc w:val="both"/>
        <w:rPr>
          <w:rFonts w:eastAsia="MS Mincho"/>
          <w:sz w:val="28"/>
          <w:szCs w:val="28"/>
        </w:rPr>
      </w:pPr>
      <w:r>
        <w:rPr>
          <w:sz w:val="28"/>
          <w:szCs w:val="28"/>
        </w:rPr>
        <w:t>If you notice any side effects not listed in the leaflet, please notify your doctor.</w:t>
      </w:r>
    </w:p>
    <w:p w:rsidR="00952059" w:rsidRPr="00B9316D" w:rsidRDefault="00952059" w:rsidP="000507FC">
      <w:pPr>
        <w:spacing w:before="120" w:line="360" w:lineRule="auto"/>
        <w:rPr>
          <w:b/>
          <w:sz w:val="28"/>
          <w:szCs w:val="28"/>
        </w:rPr>
      </w:pPr>
      <w:r>
        <w:rPr>
          <w:b/>
          <w:sz w:val="28"/>
          <w:szCs w:val="28"/>
        </w:rPr>
        <w:t>Overdose</w:t>
      </w:r>
    </w:p>
    <w:p w:rsidR="00952059" w:rsidRPr="00B9316D" w:rsidRDefault="00952059" w:rsidP="005E7AF0">
      <w:pPr>
        <w:spacing w:line="360" w:lineRule="auto"/>
        <w:ind w:right="137"/>
        <w:rPr>
          <w:sz w:val="28"/>
          <w:szCs w:val="28"/>
        </w:rPr>
      </w:pPr>
      <w:r>
        <w:rPr>
          <w:sz w:val="28"/>
          <w:szCs w:val="28"/>
        </w:rPr>
        <w:lastRenderedPageBreak/>
        <w:t>No cases of overdose have been reported.</w:t>
      </w:r>
    </w:p>
    <w:p w:rsidR="00952059" w:rsidRPr="00B9316D" w:rsidRDefault="00952059" w:rsidP="000507FC">
      <w:pPr>
        <w:spacing w:before="120" w:line="360" w:lineRule="auto"/>
        <w:ind w:right="136"/>
        <w:jc w:val="both"/>
        <w:rPr>
          <w:b/>
          <w:sz w:val="28"/>
          <w:szCs w:val="28"/>
        </w:rPr>
      </w:pPr>
      <w:r>
        <w:rPr>
          <w:b/>
          <w:sz w:val="28"/>
          <w:szCs w:val="28"/>
        </w:rPr>
        <w:t xml:space="preserve">Drug interactions </w:t>
      </w:r>
    </w:p>
    <w:p w:rsidR="00952059" w:rsidRPr="00B9316D" w:rsidRDefault="00952059" w:rsidP="005E7AF0">
      <w:pPr>
        <w:pStyle w:val="11"/>
        <w:spacing w:line="360" w:lineRule="auto"/>
        <w:ind w:right="-77"/>
        <w:jc w:val="both"/>
        <w:rPr>
          <w:sz w:val="28"/>
          <w:szCs w:val="28"/>
        </w:rPr>
      </w:pPr>
      <w:r>
        <w:rPr>
          <w:sz w:val="28"/>
          <w:szCs w:val="28"/>
        </w:rPr>
        <w:t xml:space="preserve">Azoximer bromide does not inhibit cytochrome P-450 isoenzymes CYP1A2, CYP2C9, CYP2C19, CYP2D6; therefore, the medicinal product is compatible with many medications, including antibiotics, antiviral, antifungal and antihistamine agents, glucocorticosteroids, and cytostatics. </w:t>
      </w:r>
    </w:p>
    <w:p w:rsidR="00952059" w:rsidRPr="00B9316D" w:rsidRDefault="00952059" w:rsidP="000507FC">
      <w:pPr>
        <w:tabs>
          <w:tab w:val="num" w:pos="540"/>
          <w:tab w:val="left" w:pos="9540"/>
        </w:tabs>
        <w:spacing w:before="120" w:line="360" w:lineRule="auto"/>
        <w:jc w:val="both"/>
        <w:rPr>
          <w:b/>
          <w:color w:val="000000"/>
          <w:sz w:val="28"/>
          <w:szCs w:val="28"/>
        </w:rPr>
      </w:pPr>
      <w:r>
        <w:rPr>
          <w:b/>
          <w:color w:val="000000"/>
          <w:sz w:val="28"/>
          <w:szCs w:val="28"/>
        </w:rPr>
        <w:t xml:space="preserve">Special instructions </w:t>
      </w:r>
    </w:p>
    <w:p w:rsidR="00952059" w:rsidRPr="00B9316D" w:rsidRDefault="00952059" w:rsidP="00C632D2">
      <w:pPr>
        <w:tabs>
          <w:tab w:val="num" w:pos="540"/>
          <w:tab w:val="left" w:pos="9540"/>
        </w:tabs>
        <w:spacing w:line="360" w:lineRule="auto"/>
        <w:jc w:val="both"/>
        <w:rPr>
          <w:color w:val="000000"/>
          <w:sz w:val="28"/>
          <w:szCs w:val="28"/>
        </w:rPr>
      </w:pPr>
      <w:r>
        <w:rPr>
          <w:color w:val="000000"/>
          <w:sz w:val="28"/>
          <w:szCs w:val="28"/>
        </w:rPr>
        <w:t>If an allergic reaction develops, you should stop using Polyoxidonium</w:t>
      </w:r>
      <w:r>
        <w:rPr>
          <w:color w:val="000000"/>
          <w:sz w:val="28"/>
          <w:szCs w:val="28"/>
          <w:vertAlign w:val="superscript"/>
        </w:rPr>
        <w:t>®</w:t>
      </w:r>
      <w:r>
        <w:rPr>
          <w:color w:val="000000"/>
          <w:sz w:val="28"/>
          <w:szCs w:val="28"/>
        </w:rPr>
        <w:t xml:space="preserve"> and consult a doctor.</w:t>
      </w:r>
    </w:p>
    <w:p w:rsidR="00952059" w:rsidRPr="00B9316D" w:rsidRDefault="00952059" w:rsidP="00C632D2">
      <w:pPr>
        <w:tabs>
          <w:tab w:val="num" w:pos="540"/>
          <w:tab w:val="left" w:pos="9540"/>
        </w:tabs>
        <w:spacing w:line="360" w:lineRule="auto"/>
        <w:jc w:val="both"/>
        <w:rPr>
          <w:color w:val="000000"/>
          <w:sz w:val="28"/>
          <w:szCs w:val="28"/>
        </w:rPr>
      </w:pPr>
      <w:r>
        <w:rPr>
          <w:color w:val="000000"/>
          <w:sz w:val="28"/>
          <w:szCs w:val="28"/>
        </w:rPr>
        <w:t>If you need to stop taking Polyoxidonium</w:t>
      </w:r>
      <w:r>
        <w:rPr>
          <w:color w:val="000000"/>
          <w:sz w:val="28"/>
          <w:szCs w:val="28"/>
          <w:vertAlign w:val="superscript"/>
        </w:rPr>
        <w:t>®</w:t>
      </w:r>
      <w:r>
        <w:rPr>
          <w:color w:val="000000"/>
          <w:sz w:val="28"/>
          <w:szCs w:val="28"/>
        </w:rPr>
        <w:t>, you can cancel it immediately, without a gradual dose reduction.</w:t>
      </w:r>
    </w:p>
    <w:p w:rsidR="00952059" w:rsidRPr="00B9316D" w:rsidRDefault="00952059" w:rsidP="00C632D2">
      <w:pPr>
        <w:tabs>
          <w:tab w:val="num" w:pos="540"/>
          <w:tab w:val="left" w:pos="9540"/>
        </w:tabs>
        <w:spacing w:line="360" w:lineRule="auto"/>
        <w:jc w:val="both"/>
        <w:rPr>
          <w:color w:val="000000"/>
          <w:sz w:val="28"/>
          <w:szCs w:val="28"/>
        </w:rPr>
      </w:pPr>
      <w:r>
        <w:rPr>
          <w:color w:val="000000"/>
          <w:sz w:val="28"/>
          <w:szCs w:val="28"/>
        </w:rPr>
        <w:t>If the next dose of the medicinal product is missed, you should continue to use it as usual, in line with the instructions in this leaflet or a doctor’s recommendations. Do not take a double dose to compensate for the missed ones.</w:t>
      </w:r>
    </w:p>
    <w:p w:rsidR="00952059" w:rsidRPr="00B9316D" w:rsidRDefault="00952059" w:rsidP="000507FC">
      <w:pPr>
        <w:spacing w:line="360" w:lineRule="auto"/>
        <w:jc w:val="both"/>
        <w:rPr>
          <w:sz w:val="28"/>
          <w:szCs w:val="28"/>
        </w:rPr>
      </w:pPr>
      <w:r>
        <w:rPr>
          <w:sz w:val="28"/>
          <w:szCs w:val="28"/>
        </w:rPr>
        <w:t xml:space="preserve">Do not use the medicinal product if there are visual signs of its unsuitability (a packaging defect, discoloration of the solution). </w:t>
      </w:r>
    </w:p>
    <w:p w:rsidR="00952059" w:rsidRPr="00B9316D" w:rsidRDefault="00952059" w:rsidP="000507FC">
      <w:pPr>
        <w:pStyle w:val="11"/>
        <w:spacing w:line="360" w:lineRule="auto"/>
        <w:jc w:val="both"/>
        <w:rPr>
          <w:color w:val="000000"/>
          <w:sz w:val="28"/>
          <w:szCs w:val="28"/>
        </w:rPr>
      </w:pPr>
      <w:r>
        <w:rPr>
          <w:color w:val="000000"/>
          <w:sz w:val="28"/>
          <w:szCs w:val="28"/>
        </w:rPr>
        <w:t>Do not dissolve in protein-bearing infusion solutions to administer via intravenous (drip) infusion.</w:t>
      </w:r>
    </w:p>
    <w:p w:rsidR="00952059" w:rsidRPr="00B9316D" w:rsidRDefault="00952059" w:rsidP="000507FC">
      <w:pPr>
        <w:snapToGrid w:val="0"/>
        <w:spacing w:before="120" w:line="360" w:lineRule="auto"/>
        <w:jc w:val="both"/>
        <w:rPr>
          <w:b/>
          <w:color w:val="000000"/>
          <w:sz w:val="28"/>
          <w:szCs w:val="28"/>
        </w:rPr>
      </w:pPr>
      <w:r>
        <w:rPr>
          <w:b/>
          <w:color w:val="000000"/>
          <w:sz w:val="28"/>
          <w:szCs w:val="28"/>
        </w:rPr>
        <w:t xml:space="preserve">Effects on ability to drive and use machines </w:t>
      </w:r>
    </w:p>
    <w:p w:rsidR="00952059" w:rsidRPr="00B9316D" w:rsidRDefault="00952059" w:rsidP="000507FC">
      <w:pPr>
        <w:snapToGrid w:val="0"/>
        <w:spacing w:line="360" w:lineRule="auto"/>
        <w:jc w:val="both"/>
        <w:rPr>
          <w:color w:val="000000"/>
          <w:sz w:val="28"/>
          <w:szCs w:val="28"/>
        </w:rPr>
      </w:pPr>
      <w:r>
        <w:rPr>
          <w:color w:val="000000"/>
          <w:sz w:val="28"/>
          <w:szCs w:val="28"/>
        </w:rPr>
        <w:t>The use of Polyoxidonium</w:t>
      </w:r>
      <w:r>
        <w:rPr>
          <w:color w:val="000000"/>
          <w:sz w:val="28"/>
          <w:szCs w:val="28"/>
          <w:vertAlign w:val="superscript"/>
        </w:rPr>
        <w:t>®</w:t>
      </w:r>
      <w:r>
        <w:rPr>
          <w:color w:val="000000"/>
          <w:sz w:val="28"/>
          <w:szCs w:val="28"/>
        </w:rPr>
        <w:t xml:space="preserve"> does not affect the ability to perform potentially hazardous activities that require increased concentration of attention and speed of psychomotor reactions (including driving, operating moving mechanisms). </w:t>
      </w:r>
    </w:p>
    <w:p w:rsidR="00952059" w:rsidRPr="00B9316D" w:rsidRDefault="00952059" w:rsidP="000507FC">
      <w:pPr>
        <w:pStyle w:val="11"/>
        <w:spacing w:before="120" w:line="360" w:lineRule="auto"/>
        <w:jc w:val="both"/>
        <w:rPr>
          <w:b/>
          <w:color w:val="000000"/>
          <w:sz w:val="28"/>
          <w:szCs w:val="28"/>
        </w:rPr>
      </w:pPr>
      <w:r>
        <w:rPr>
          <w:b/>
          <w:color w:val="000000"/>
          <w:sz w:val="28"/>
          <w:szCs w:val="28"/>
        </w:rPr>
        <w:t xml:space="preserve">Dosage form  </w:t>
      </w:r>
    </w:p>
    <w:p w:rsidR="00952059" w:rsidRPr="00B9316D" w:rsidRDefault="00952059" w:rsidP="009E720B">
      <w:pPr>
        <w:widowControl w:val="0"/>
        <w:spacing w:line="360" w:lineRule="auto"/>
        <w:jc w:val="both"/>
        <w:rPr>
          <w:b/>
          <w:color w:val="000000"/>
          <w:sz w:val="28"/>
          <w:szCs w:val="28"/>
        </w:rPr>
      </w:pPr>
      <w:r>
        <w:rPr>
          <w:color w:val="000000"/>
          <w:sz w:val="28"/>
          <w:szCs w:val="28"/>
        </w:rPr>
        <w:t>Solution for injections and topical application.</w:t>
      </w:r>
    </w:p>
    <w:p w:rsidR="00952059" w:rsidRDefault="00952059" w:rsidP="005F5727">
      <w:pPr>
        <w:widowControl w:val="0"/>
        <w:spacing w:line="360" w:lineRule="auto"/>
        <w:jc w:val="both"/>
        <w:rPr>
          <w:snapToGrid w:val="0"/>
          <w:sz w:val="28"/>
          <w:szCs w:val="28"/>
        </w:rPr>
      </w:pPr>
      <w:r>
        <w:rPr>
          <w:snapToGrid w:val="0"/>
          <w:sz w:val="28"/>
          <w:szCs w:val="28"/>
        </w:rPr>
        <w:t>1.0 or 2.0 mL (for 3.0 mg/mL dosage) in 1 or 2 mL disposable injection syringes made of neutral glass.</w:t>
      </w:r>
    </w:p>
    <w:p w:rsidR="00952059" w:rsidRDefault="00952059" w:rsidP="005F5727">
      <w:pPr>
        <w:widowControl w:val="0"/>
        <w:spacing w:line="360" w:lineRule="auto"/>
        <w:jc w:val="both"/>
        <w:rPr>
          <w:snapToGrid w:val="0"/>
          <w:sz w:val="28"/>
          <w:szCs w:val="28"/>
        </w:rPr>
      </w:pPr>
      <w:r>
        <w:rPr>
          <w:snapToGrid w:val="0"/>
          <w:sz w:val="28"/>
          <w:szCs w:val="28"/>
        </w:rPr>
        <w:t>1.0 mL (for 6.0 mg/mL dosage) in 1 mL disposable injection syringes made of neutral glass.</w:t>
      </w:r>
    </w:p>
    <w:p w:rsidR="00952059" w:rsidRDefault="00952059" w:rsidP="005F5727">
      <w:pPr>
        <w:widowControl w:val="0"/>
        <w:spacing w:line="360" w:lineRule="auto"/>
        <w:jc w:val="both"/>
        <w:rPr>
          <w:snapToGrid w:val="0"/>
          <w:sz w:val="28"/>
          <w:szCs w:val="28"/>
        </w:rPr>
      </w:pPr>
      <w:r>
        <w:rPr>
          <w:snapToGrid w:val="0"/>
          <w:sz w:val="28"/>
          <w:szCs w:val="28"/>
        </w:rPr>
        <w:t xml:space="preserve">1.0 or 2.0 mL (for 3.0 mg/mL dosage) or 1.0 mL (for 6.0 mg/mL dosage) in 3 mL </w:t>
      </w:r>
      <w:r>
        <w:rPr>
          <w:snapToGrid w:val="0"/>
          <w:sz w:val="28"/>
          <w:szCs w:val="28"/>
        </w:rPr>
        <w:lastRenderedPageBreak/>
        <w:t>vials made of colorless glass.</w:t>
      </w:r>
    </w:p>
    <w:p w:rsidR="00952059" w:rsidRPr="00BD472E" w:rsidRDefault="00952059" w:rsidP="00BD472E">
      <w:pPr>
        <w:widowControl w:val="0"/>
        <w:spacing w:line="360" w:lineRule="auto"/>
        <w:jc w:val="both"/>
        <w:rPr>
          <w:snapToGrid w:val="0"/>
          <w:sz w:val="28"/>
          <w:szCs w:val="28"/>
        </w:rPr>
      </w:pPr>
      <w:r>
        <w:rPr>
          <w:snapToGrid w:val="0"/>
          <w:sz w:val="28"/>
          <w:szCs w:val="28"/>
        </w:rPr>
        <w:t xml:space="preserve"> 1 syringe with 1 disposable sterile needle in a blister covered with aluminium foil. 5 vials in a blister. 1 blister together with the package leaflet placed in a carton. </w:t>
      </w:r>
    </w:p>
    <w:p w:rsidR="00952059" w:rsidRPr="00BD472E" w:rsidRDefault="00952059" w:rsidP="00BD472E">
      <w:pPr>
        <w:widowControl w:val="0"/>
        <w:spacing w:line="360" w:lineRule="auto"/>
        <w:jc w:val="both"/>
        <w:rPr>
          <w:snapToGrid w:val="0"/>
          <w:sz w:val="28"/>
          <w:szCs w:val="28"/>
        </w:rPr>
      </w:pPr>
      <w:r>
        <w:rPr>
          <w:snapToGrid w:val="0"/>
          <w:sz w:val="28"/>
          <w:szCs w:val="28"/>
        </w:rPr>
        <w:t>5 blisters with 1 syringe and 1 disposable sterile needle each together with the package leaflet placed in a carton.</w:t>
      </w:r>
    </w:p>
    <w:p w:rsidR="00952059" w:rsidRDefault="00952059" w:rsidP="00BD472E">
      <w:pPr>
        <w:widowControl w:val="0"/>
        <w:spacing w:line="360" w:lineRule="auto"/>
        <w:jc w:val="both"/>
        <w:rPr>
          <w:snapToGrid w:val="0"/>
          <w:sz w:val="28"/>
          <w:szCs w:val="28"/>
        </w:rPr>
      </w:pPr>
      <w:r>
        <w:rPr>
          <w:snapToGrid w:val="0"/>
          <w:sz w:val="28"/>
          <w:szCs w:val="28"/>
        </w:rPr>
        <w:t>5 syringes with 5 disposable sterile needles each (without blisters) together with the package leaflet placed in a carton with a cardboard insert.</w:t>
      </w:r>
    </w:p>
    <w:p w:rsidR="00952059" w:rsidRPr="00B9316D" w:rsidRDefault="00952059" w:rsidP="002C72E8">
      <w:pPr>
        <w:widowControl w:val="0"/>
        <w:spacing w:line="360" w:lineRule="auto"/>
        <w:jc w:val="both"/>
        <w:rPr>
          <w:b/>
          <w:sz w:val="28"/>
          <w:szCs w:val="28"/>
        </w:rPr>
      </w:pPr>
      <w:r>
        <w:rPr>
          <w:snapToGrid w:val="0"/>
          <w:sz w:val="28"/>
          <w:szCs w:val="28"/>
        </w:rPr>
        <w:t xml:space="preserve"> </w:t>
      </w:r>
      <w:r>
        <w:rPr>
          <w:b/>
          <w:sz w:val="28"/>
          <w:szCs w:val="28"/>
        </w:rPr>
        <w:t>Shelf life</w:t>
      </w:r>
    </w:p>
    <w:p w:rsidR="00952059" w:rsidRDefault="00952059" w:rsidP="000507FC">
      <w:pPr>
        <w:pStyle w:val="11"/>
        <w:spacing w:line="360" w:lineRule="auto"/>
        <w:jc w:val="both"/>
        <w:rPr>
          <w:color w:val="000000"/>
          <w:sz w:val="28"/>
          <w:szCs w:val="28"/>
        </w:rPr>
      </w:pPr>
      <w:r>
        <w:rPr>
          <w:color w:val="000000"/>
          <w:sz w:val="28"/>
          <w:szCs w:val="28"/>
        </w:rPr>
        <w:t>2 years. Do not use after expiration date.</w:t>
      </w:r>
    </w:p>
    <w:p w:rsidR="00952059" w:rsidRPr="00B9316D" w:rsidRDefault="00952059" w:rsidP="000507FC">
      <w:pPr>
        <w:pStyle w:val="11"/>
        <w:spacing w:line="360" w:lineRule="auto"/>
        <w:jc w:val="both"/>
        <w:rPr>
          <w:b/>
          <w:color w:val="000000"/>
          <w:sz w:val="28"/>
          <w:szCs w:val="28"/>
        </w:rPr>
      </w:pPr>
    </w:p>
    <w:p w:rsidR="00952059" w:rsidRPr="00B9316D" w:rsidRDefault="00952059" w:rsidP="000507FC">
      <w:pPr>
        <w:pStyle w:val="11"/>
        <w:spacing w:line="360" w:lineRule="auto"/>
        <w:rPr>
          <w:b/>
          <w:sz w:val="28"/>
          <w:szCs w:val="28"/>
        </w:rPr>
      </w:pPr>
      <w:r>
        <w:rPr>
          <w:b/>
          <w:sz w:val="28"/>
          <w:szCs w:val="28"/>
        </w:rPr>
        <w:t xml:space="preserve">Storage conditions </w:t>
      </w:r>
    </w:p>
    <w:p w:rsidR="00952059" w:rsidRDefault="00952059" w:rsidP="000507FC">
      <w:pPr>
        <w:pStyle w:val="110"/>
        <w:spacing w:line="360" w:lineRule="auto"/>
        <w:jc w:val="both"/>
        <w:rPr>
          <w:sz w:val="28"/>
          <w:szCs w:val="28"/>
        </w:rPr>
      </w:pPr>
      <w:r>
        <w:rPr>
          <w:sz w:val="28"/>
          <w:szCs w:val="28"/>
        </w:rPr>
        <w:t xml:space="preserve">Store at 2–8°С. </w:t>
      </w:r>
    </w:p>
    <w:p w:rsidR="00952059" w:rsidRPr="00B9316D" w:rsidRDefault="00952059" w:rsidP="000507FC">
      <w:pPr>
        <w:pStyle w:val="110"/>
        <w:spacing w:line="360" w:lineRule="auto"/>
        <w:jc w:val="both"/>
        <w:rPr>
          <w:sz w:val="28"/>
          <w:szCs w:val="28"/>
          <w:u w:val="single"/>
        </w:rPr>
      </w:pPr>
      <w:r>
        <w:rPr>
          <w:sz w:val="28"/>
          <w:szCs w:val="28"/>
        </w:rPr>
        <w:t>Keep out of reach of children.</w:t>
      </w:r>
    </w:p>
    <w:p w:rsidR="00952059" w:rsidRPr="00B9316D" w:rsidRDefault="00952059" w:rsidP="000507FC">
      <w:pPr>
        <w:pStyle w:val="11"/>
        <w:spacing w:before="120" w:line="360" w:lineRule="auto"/>
        <w:rPr>
          <w:b/>
          <w:color w:val="000000"/>
          <w:sz w:val="28"/>
          <w:szCs w:val="28"/>
        </w:rPr>
      </w:pPr>
      <w:r>
        <w:rPr>
          <w:b/>
          <w:color w:val="000000"/>
          <w:sz w:val="28"/>
          <w:szCs w:val="28"/>
        </w:rPr>
        <w:t xml:space="preserve">Pharmacy purchasing terms </w:t>
      </w:r>
    </w:p>
    <w:p w:rsidR="00952059" w:rsidRDefault="00952059" w:rsidP="000A3086">
      <w:pPr>
        <w:pStyle w:val="11"/>
        <w:spacing w:line="360" w:lineRule="auto"/>
        <w:jc w:val="both"/>
        <w:rPr>
          <w:color w:val="000000"/>
          <w:sz w:val="28"/>
          <w:szCs w:val="28"/>
        </w:rPr>
      </w:pPr>
      <w:r>
        <w:rPr>
          <w:color w:val="000000"/>
          <w:sz w:val="28"/>
          <w:szCs w:val="28"/>
        </w:rPr>
        <w:t xml:space="preserve">Available on prescription. </w:t>
      </w:r>
    </w:p>
    <w:p w:rsidR="00952059" w:rsidRPr="00B9316D" w:rsidRDefault="00952059" w:rsidP="000A3086">
      <w:pPr>
        <w:pStyle w:val="11"/>
        <w:spacing w:line="360" w:lineRule="auto"/>
        <w:jc w:val="both"/>
        <w:rPr>
          <w:color w:val="000000"/>
          <w:sz w:val="28"/>
          <w:szCs w:val="28"/>
        </w:rPr>
      </w:pPr>
    </w:p>
    <w:p w:rsidR="00952059" w:rsidRPr="00B9316D" w:rsidRDefault="00952059" w:rsidP="000A3086">
      <w:pPr>
        <w:tabs>
          <w:tab w:val="left" w:pos="9540"/>
        </w:tabs>
        <w:spacing w:before="120" w:line="360" w:lineRule="auto"/>
        <w:jc w:val="both"/>
        <w:rPr>
          <w:b/>
          <w:snapToGrid w:val="0"/>
          <w:sz w:val="28"/>
          <w:szCs w:val="28"/>
        </w:rPr>
      </w:pPr>
      <w:r>
        <w:rPr>
          <w:b/>
          <w:snapToGrid w:val="0"/>
          <w:sz w:val="28"/>
          <w:szCs w:val="28"/>
        </w:rPr>
        <w:t xml:space="preserve">Manufacturer / marketing authorization holder </w:t>
      </w:r>
    </w:p>
    <w:p w:rsidR="00952059" w:rsidRPr="00B9316D" w:rsidRDefault="00952059" w:rsidP="000507FC">
      <w:pPr>
        <w:pStyle w:val="Normal2"/>
        <w:spacing w:line="360" w:lineRule="auto"/>
        <w:jc w:val="both"/>
        <w:rPr>
          <w:sz w:val="28"/>
          <w:szCs w:val="28"/>
        </w:rPr>
      </w:pPr>
      <w:r>
        <w:rPr>
          <w:sz w:val="28"/>
          <w:szCs w:val="28"/>
        </w:rPr>
        <w:t>Marketing authorization holder, and manufacturer:</w:t>
      </w:r>
    </w:p>
    <w:p w:rsidR="00952059" w:rsidRPr="00B9316D" w:rsidRDefault="00952059" w:rsidP="000507FC">
      <w:pPr>
        <w:pStyle w:val="Normal2"/>
        <w:spacing w:line="360" w:lineRule="auto"/>
        <w:jc w:val="both"/>
        <w:rPr>
          <w:sz w:val="28"/>
          <w:szCs w:val="28"/>
        </w:rPr>
      </w:pPr>
      <w:r>
        <w:rPr>
          <w:sz w:val="28"/>
          <w:szCs w:val="28"/>
        </w:rPr>
        <w:t>NPO Petrovax Pharm LLC</w:t>
      </w:r>
    </w:p>
    <w:p w:rsidR="00952059" w:rsidRPr="00B9316D" w:rsidRDefault="00952059" w:rsidP="00C632D2">
      <w:pPr>
        <w:spacing w:line="360" w:lineRule="auto"/>
        <w:jc w:val="both"/>
        <w:rPr>
          <w:color w:val="000000"/>
          <w:sz w:val="28"/>
          <w:szCs w:val="28"/>
        </w:rPr>
      </w:pPr>
      <w:r>
        <w:rPr>
          <w:color w:val="000000"/>
          <w:sz w:val="28"/>
          <w:szCs w:val="28"/>
        </w:rPr>
        <w:t xml:space="preserve">Registered office / manufacturing site / address for customer complaints: </w:t>
      </w:r>
    </w:p>
    <w:p w:rsidR="00952059" w:rsidRPr="00B9316D" w:rsidRDefault="00952059" w:rsidP="00C632D2">
      <w:pPr>
        <w:spacing w:line="360" w:lineRule="auto"/>
        <w:jc w:val="both"/>
        <w:rPr>
          <w:sz w:val="28"/>
          <w:szCs w:val="28"/>
        </w:rPr>
      </w:pPr>
      <w:r>
        <w:rPr>
          <w:sz w:val="28"/>
          <w:szCs w:val="28"/>
        </w:rPr>
        <w:t xml:space="preserve">1 Sosnovaya St., Pokrov village, Podolsk, Moscow Region, 142143, Russia, tel./fax: +7 495 926 2107, e-mail: </w:t>
      </w:r>
      <w:hyperlink r:id="rId18" w:history="1">
        <w:r>
          <w:rPr>
            <w:rStyle w:val="a8"/>
            <w:sz w:val="28"/>
            <w:szCs w:val="28"/>
          </w:rPr>
          <w:t>info@petrovax.ru</w:t>
        </w:r>
      </w:hyperlink>
      <w:r>
        <w:rPr>
          <w:sz w:val="28"/>
          <w:szCs w:val="28"/>
        </w:rPr>
        <w:t xml:space="preserve">; </w:t>
      </w:r>
    </w:p>
    <w:p w:rsidR="00952059" w:rsidRPr="00B9316D" w:rsidRDefault="00952059" w:rsidP="00C632D2">
      <w:pPr>
        <w:spacing w:line="360" w:lineRule="auto"/>
        <w:jc w:val="both"/>
        <w:rPr>
          <w:sz w:val="28"/>
          <w:szCs w:val="28"/>
        </w:rPr>
      </w:pPr>
      <w:r>
        <w:rPr>
          <w:sz w:val="28"/>
          <w:szCs w:val="28"/>
        </w:rPr>
        <w:t xml:space="preserve">For complaints: tel.: +7 495 730 2107, e-mail: </w:t>
      </w:r>
      <w:hyperlink r:id="rId19" w:history="1">
        <w:r>
          <w:rPr>
            <w:rStyle w:val="a8"/>
            <w:sz w:val="28"/>
            <w:szCs w:val="28"/>
          </w:rPr>
          <w:t>adr@petrovax.ru</w:t>
        </w:r>
      </w:hyperlink>
    </w:p>
    <w:p w:rsidR="00952059" w:rsidRPr="00B9316D" w:rsidRDefault="00952059" w:rsidP="005E7AF0">
      <w:pPr>
        <w:spacing w:line="360" w:lineRule="auto"/>
        <w:jc w:val="both"/>
        <w:rPr>
          <w:sz w:val="28"/>
          <w:szCs w:val="28"/>
        </w:rPr>
      </w:pPr>
    </w:p>
    <w:p w:rsidR="00CC339C" w:rsidRDefault="00CC339C" w:rsidP="002C72E8">
      <w:pPr>
        <w:rPr>
          <w:sz w:val="28"/>
          <w:szCs w:val="28"/>
        </w:rPr>
      </w:pPr>
    </w:p>
    <w:p w:rsidR="00CC339C" w:rsidRDefault="00CC339C" w:rsidP="002C72E8">
      <w:pPr>
        <w:rPr>
          <w:sz w:val="28"/>
          <w:szCs w:val="28"/>
        </w:rPr>
      </w:pPr>
    </w:p>
    <w:p w:rsidR="00952059" w:rsidRPr="00D1155A" w:rsidRDefault="00F06690" w:rsidP="002C72E8">
      <w:pPr>
        <w:rPr>
          <w:iCs/>
          <w:sz w:val="28"/>
          <w:szCs w:val="28"/>
        </w:rPr>
      </w:pPr>
      <w:r>
        <w:rPr>
          <w:sz w:val="28"/>
          <w:szCs w:val="28"/>
        </w:rPr>
        <w:t>Head of Regulatory Affairs</w:t>
      </w:r>
      <w:r>
        <w:rPr>
          <w:sz w:val="28"/>
          <w:szCs w:val="28"/>
        </w:rPr>
        <w:br/>
        <w:t xml:space="preserve">for Russia and the EAEU </w:t>
      </w:r>
      <w:r>
        <w:rPr>
          <w:iCs/>
          <w:sz w:val="28"/>
          <w:szCs w:val="28"/>
        </w:rPr>
        <w:tab/>
      </w:r>
    </w:p>
    <w:p w:rsidR="00952059" w:rsidRPr="00D1155A" w:rsidRDefault="00952059" w:rsidP="002C72E8">
      <w:pPr>
        <w:rPr>
          <w:sz w:val="28"/>
          <w:szCs w:val="28"/>
        </w:rPr>
      </w:pPr>
      <w:r>
        <w:rPr>
          <w:bCs/>
          <w:color w:val="000000"/>
          <w:sz w:val="28"/>
          <w:szCs w:val="28"/>
        </w:rPr>
        <w:t>NPO Petrovax Pharm LLC</w:t>
      </w:r>
      <w:r>
        <w:rPr>
          <w:bCs/>
          <w:color w:val="000000"/>
          <w:sz w:val="28"/>
          <w:szCs w:val="28"/>
        </w:rPr>
        <w:tab/>
      </w:r>
      <w:r>
        <w:rPr>
          <w:bCs/>
          <w:color w:val="000000"/>
          <w:sz w:val="28"/>
          <w:szCs w:val="28"/>
        </w:rPr>
        <w:tab/>
      </w:r>
      <w:r>
        <w:rPr>
          <w:bCs/>
          <w:color w:val="000000"/>
          <w:sz w:val="28"/>
          <w:szCs w:val="28"/>
        </w:rPr>
        <w:tab/>
      </w:r>
      <w:r>
        <w:rPr>
          <w:bCs/>
          <w:color w:val="000000"/>
          <w:sz w:val="28"/>
          <w:szCs w:val="28"/>
        </w:rPr>
        <w:tab/>
      </w:r>
      <w:r>
        <w:rPr>
          <w:bCs/>
          <w:color w:val="000000"/>
          <w:sz w:val="28"/>
          <w:szCs w:val="28"/>
        </w:rPr>
        <w:tab/>
        <w:t xml:space="preserve">    </w:t>
      </w:r>
      <w:r>
        <w:rPr>
          <w:iCs/>
          <w:sz w:val="28"/>
          <w:szCs w:val="28"/>
        </w:rPr>
        <w:t xml:space="preserve">M.P. Nosyreva </w:t>
      </w:r>
    </w:p>
    <w:p w:rsidR="00952059" w:rsidRDefault="00952059" w:rsidP="00044EBC">
      <w:pPr>
        <w:rPr>
          <w:sz w:val="28"/>
          <w:szCs w:val="28"/>
        </w:rPr>
      </w:pPr>
    </w:p>
    <w:p w:rsidR="00880B16" w:rsidRDefault="00880B16" w:rsidP="00044EBC">
      <w:pPr>
        <w:rPr>
          <w:sz w:val="28"/>
          <w:szCs w:val="28"/>
        </w:rPr>
      </w:pPr>
    </w:p>
    <w:p w:rsidR="00880B16" w:rsidRDefault="00880B16" w:rsidP="00044EBC">
      <w:pPr>
        <w:rPr>
          <w:sz w:val="28"/>
          <w:szCs w:val="28"/>
        </w:rPr>
      </w:pPr>
      <w:bookmarkStart w:id="0" w:name="_GoBack"/>
      <w:bookmarkEnd w:id="0"/>
    </w:p>
    <w:sectPr w:rsidR="00880B16" w:rsidSect="000507FC">
      <w:footerReference w:type="default" r:id="rId20"/>
      <w:headerReference w:type="first" r:id="rId21"/>
      <w:footerReference w:type="first" r:id="rId22"/>
      <w:pgSz w:w="11907" w:h="16840"/>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A85" w:rsidRDefault="00071A85">
      <w:r>
        <w:separator/>
      </w:r>
    </w:p>
  </w:endnote>
  <w:endnote w:type="continuationSeparator" w:id="0">
    <w:p w:rsidR="00071A85" w:rsidRDefault="00071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059" w:rsidRDefault="00952059">
    <w:pPr>
      <w:pStyle w:val="13"/>
      <w:framePr w:wrap="auto" w:vAnchor="text" w:hAnchor="margin" w:xAlign="right" w:y="1"/>
      <w:rPr>
        <w:rStyle w:val="12"/>
      </w:rPr>
    </w:pPr>
    <w:r>
      <w:rPr>
        <w:rStyle w:val="12"/>
      </w:rPr>
      <w:fldChar w:fldCharType="begin"/>
    </w:r>
    <w:r>
      <w:rPr>
        <w:rStyle w:val="12"/>
      </w:rPr>
      <w:instrText xml:space="preserve">PAGE  </w:instrText>
    </w:r>
    <w:r>
      <w:rPr>
        <w:rStyle w:val="12"/>
      </w:rPr>
      <w:fldChar w:fldCharType="separate"/>
    </w:r>
    <w:r w:rsidR="004E629B">
      <w:rPr>
        <w:rStyle w:val="12"/>
        <w:noProof/>
      </w:rPr>
      <w:t>11</w:t>
    </w:r>
    <w:r>
      <w:rPr>
        <w:rStyle w:val="12"/>
      </w:rPr>
      <w:fldChar w:fldCharType="end"/>
    </w:r>
  </w:p>
  <w:p w:rsidR="00952059" w:rsidRDefault="00952059">
    <w:pPr>
      <w:pStyle w:val="1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059" w:rsidRDefault="00685BFE">
    <w:pPr>
      <w:pStyle w:val="a5"/>
      <w:jc w:val="right"/>
    </w:pPr>
    <w:r>
      <w:fldChar w:fldCharType="begin"/>
    </w:r>
    <w:r>
      <w:instrText>PAGE   \* MERGEFORMAT</w:instrText>
    </w:r>
    <w:r>
      <w:fldChar w:fldCharType="separate"/>
    </w:r>
    <w:r w:rsidR="004E629B">
      <w:rPr>
        <w:noProof/>
      </w:rPr>
      <w:t>1</w:t>
    </w:r>
    <w:r>
      <w:fldChar w:fldCharType="end"/>
    </w:r>
  </w:p>
  <w:p w:rsidR="00952059" w:rsidRDefault="0095205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A85" w:rsidRDefault="00071A85">
      <w:r>
        <w:separator/>
      </w:r>
    </w:p>
  </w:footnote>
  <w:footnote w:type="continuationSeparator" w:id="0">
    <w:p w:rsidR="00071A85" w:rsidRDefault="00071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059" w:rsidRPr="001E6C94" w:rsidRDefault="00952059" w:rsidP="005F5727">
    <w:pPr>
      <w:pStyle w:val="a3"/>
    </w:pPr>
  </w:p>
  <w:p w:rsidR="00952059" w:rsidRDefault="0095205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2DDF"/>
    <w:multiLevelType w:val="hybridMultilevel"/>
    <w:tmpl w:val="F4B442E8"/>
    <w:lvl w:ilvl="0" w:tplc="04190001">
      <w:start w:val="1"/>
      <w:numFmt w:val="bullet"/>
      <w:lvlText w:val=""/>
      <w:lvlJc w:val="left"/>
      <w:pPr>
        <w:tabs>
          <w:tab w:val="num" w:pos="693"/>
        </w:tabs>
        <w:ind w:left="693" w:hanging="360"/>
      </w:pPr>
      <w:rPr>
        <w:rFonts w:ascii="Symbol" w:hAnsi="Symbol" w:hint="default"/>
      </w:rPr>
    </w:lvl>
    <w:lvl w:ilvl="1" w:tplc="04190003" w:tentative="1">
      <w:start w:val="1"/>
      <w:numFmt w:val="bullet"/>
      <w:lvlText w:val="o"/>
      <w:lvlJc w:val="left"/>
      <w:pPr>
        <w:tabs>
          <w:tab w:val="num" w:pos="1413"/>
        </w:tabs>
        <w:ind w:left="1413" w:hanging="360"/>
      </w:pPr>
      <w:rPr>
        <w:rFonts w:ascii="Courier New" w:hAnsi="Courier New" w:hint="default"/>
      </w:rPr>
    </w:lvl>
    <w:lvl w:ilvl="2" w:tplc="04190005" w:tentative="1">
      <w:start w:val="1"/>
      <w:numFmt w:val="bullet"/>
      <w:lvlText w:val=""/>
      <w:lvlJc w:val="left"/>
      <w:pPr>
        <w:tabs>
          <w:tab w:val="num" w:pos="2133"/>
        </w:tabs>
        <w:ind w:left="2133" w:hanging="360"/>
      </w:pPr>
      <w:rPr>
        <w:rFonts w:ascii="Wingdings" w:hAnsi="Wingdings" w:hint="default"/>
      </w:rPr>
    </w:lvl>
    <w:lvl w:ilvl="3" w:tplc="04190001" w:tentative="1">
      <w:start w:val="1"/>
      <w:numFmt w:val="bullet"/>
      <w:lvlText w:val=""/>
      <w:lvlJc w:val="left"/>
      <w:pPr>
        <w:tabs>
          <w:tab w:val="num" w:pos="2853"/>
        </w:tabs>
        <w:ind w:left="2853" w:hanging="360"/>
      </w:pPr>
      <w:rPr>
        <w:rFonts w:ascii="Symbol" w:hAnsi="Symbol" w:hint="default"/>
      </w:rPr>
    </w:lvl>
    <w:lvl w:ilvl="4" w:tplc="04190003" w:tentative="1">
      <w:start w:val="1"/>
      <w:numFmt w:val="bullet"/>
      <w:lvlText w:val="o"/>
      <w:lvlJc w:val="left"/>
      <w:pPr>
        <w:tabs>
          <w:tab w:val="num" w:pos="3573"/>
        </w:tabs>
        <w:ind w:left="3573" w:hanging="360"/>
      </w:pPr>
      <w:rPr>
        <w:rFonts w:ascii="Courier New" w:hAnsi="Courier New" w:hint="default"/>
      </w:rPr>
    </w:lvl>
    <w:lvl w:ilvl="5" w:tplc="04190005" w:tentative="1">
      <w:start w:val="1"/>
      <w:numFmt w:val="bullet"/>
      <w:lvlText w:val=""/>
      <w:lvlJc w:val="left"/>
      <w:pPr>
        <w:tabs>
          <w:tab w:val="num" w:pos="4293"/>
        </w:tabs>
        <w:ind w:left="4293" w:hanging="360"/>
      </w:pPr>
      <w:rPr>
        <w:rFonts w:ascii="Wingdings" w:hAnsi="Wingdings" w:hint="default"/>
      </w:rPr>
    </w:lvl>
    <w:lvl w:ilvl="6" w:tplc="04190001" w:tentative="1">
      <w:start w:val="1"/>
      <w:numFmt w:val="bullet"/>
      <w:lvlText w:val=""/>
      <w:lvlJc w:val="left"/>
      <w:pPr>
        <w:tabs>
          <w:tab w:val="num" w:pos="5013"/>
        </w:tabs>
        <w:ind w:left="5013" w:hanging="360"/>
      </w:pPr>
      <w:rPr>
        <w:rFonts w:ascii="Symbol" w:hAnsi="Symbol" w:hint="default"/>
      </w:rPr>
    </w:lvl>
    <w:lvl w:ilvl="7" w:tplc="04190003" w:tentative="1">
      <w:start w:val="1"/>
      <w:numFmt w:val="bullet"/>
      <w:lvlText w:val="o"/>
      <w:lvlJc w:val="left"/>
      <w:pPr>
        <w:tabs>
          <w:tab w:val="num" w:pos="5733"/>
        </w:tabs>
        <w:ind w:left="5733" w:hanging="360"/>
      </w:pPr>
      <w:rPr>
        <w:rFonts w:ascii="Courier New" w:hAnsi="Courier New" w:hint="default"/>
      </w:rPr>
    </w:lvl>
    <w:lvl w:ilvl="8" w:tplc="04190005" w:tentative="1">
      <w:start w:val="1"/>
      <w:numFmt w:val="bullet"/>
      <w:lvlText w:val=""/>
      <w:lvlJc w:val="left"/>
      <w:pPr>
        <w:tabs>
          <w:tab w:val="num" w:pos="6453"/>
        </w:tabs>
        <w:ind w:left="6453" w:hanging="360"/>
      </w:pPr>
      <w:rPr>
        <w:rFonts w:ascii="Wingdings" w:hAnsi="Wingdings" w:hint="default"/>
      </w:rPr>
    </w:lvl>
  </w:abstractNum>
  <w:abstractNum w:abstractNumId="1" w15:restartNumberingAfterBreak="0">
    <w:nsid w:val="085565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A34594"/>
    <w:multiLevelType w:val="hybridMultilevel"/>
    <w:tmpl w:val="D7242DB2"/>
    <w:lvl w:ilvl="0" w:tplc="F29274D6">
      <w:start w:val="1"/>
      <w:numFmt w:val="bullet"/>
      <w:lvlText w:val=""/>
      <w:lvlJc w:val="left"/>
      <w:pPr>
        <w:tabs>
          <w:tab w:val="num" w:pos="1320"/>
        </w:tabs>
        <w:ind w:left="1320" w:hanging="360"/>
      </w:pPr>
      <w:rPr>
        <w:rFonts w:ascii="Symbol" w:hAnsi="Symbol" w:hint="default"/>
      </w:rPr>
    </w:lvl>
    <w:lvl w:ilvl="1" w:tplc="958A6EBE" w:tentative="1">
      <w:start w:val="1"/>
      <w:numFmt w:val="bullet"/>
      <w:lvlText w:val="o"/>
      <w:lvlJc w:val="left"/>
      <w:pPr>
        <w:tabs>
          <w:tab w:val="num" w:pos="1440"/>
        </w:tabs>
        <w:ind w:left="1440" w:hanging="360"/>
      </w:pPr>
      <w:rPr>
        <w:rFonts w:ascii="Courier New" w:hAnsi="Courier New" w:hint="default"/>
      </w:rPr>
    </w:lvl>
    <w:lvl w:ilvl="2" w:tplc="F9B06C60" w:tentative="1">
      <w:start w:val="1"/>
      <w:numFmt w:val="bullet"/>
      <w:lvlText w:val=""/>
      <w:lvlJc w:val="left"/>
      <w:pPr>
        <w:tabs>
          <w:tab w:val="num" w:pos="2160"/>
        </w:tabs>
        <w:ind w:left="2160" w:hanging="360"/>
      </w:pPr>
      <w:rPr>
        <w:rFonts w:ascii="Wingdings" w:hAnsi="Wingdings" w:hint="default"/>
      </w:rPr>
    </w:lvl>
    <w:lvl w:ilvl="3" w:tplc="FB521E18" w:tentative="1">
      <w:start w:val="1"/>
      <w:numFmt w:val="bullet"/>
      <w:lvlText w:val=""/>
      <w:lvlJc w:val="left"/>
      <w:pPr>
        <w:tabs>
          <w:tab w:val="num" w:pos="2880"/>
        </w:tabs>
        <w:ind w:left="2880" w:hanging="360"/>
      </w:pPr>
      <w:rPr>
        <w:rFonts w:ascii="Symbol" w:hAnsi="Symbol" w:hint="default"/>
      </w:rPr>
    </w:lvl>
    <w:lvl w:ilvl="4" w:tplc="FBDE3596" w:tentative="1">
      <w:start w:val="1"/>
      <w:numFmt w:val="bullet"/>
      <w:lvlText w:val="o"/>
      <w:lvlJc w:val="left"/>
      <w:pPr>
        <w:tabs>
          <w:tab w:val="num" w:pos="3600"/>
        </w:tabs>
        <w:ind w:left="3600" w:hanging="360"/>
      </w:pPr>
      <w:rPr>
        <w:rFonts w:ascii="Courier New" w:hAnsi="Courier New" w:hint="default"/>
      </w:rPr>
    </w:lvl>
    <w:lvl w:ilvl="5" w:tplc="2C5654C6" w:tentative="1">
      <w:start w:val="1"/>
      <w:numFmt w:val="bullet"/>
      <w:lvlText w:val=""/>
      <w:lvlJc w:val="left"/>
      <w:pPr>
        <w:tabs>
          <w:tab w:val="num" w:pos="4320"/>
        </w:tabs>
        <w:ind w:left="4320" w:hanging="360"/>
      </w:pPr>
      <w:rPr>
        <w:rFonts w:ascii="Wingdings" w:hAnsi="Wingdings" w:hint="default"/>
      </w:rPr>
    </w:lvl>
    <w:lvl w:ilvl="6" w:tplc="86CCCE06" w:tentative="1">
      <w:start w:val="1"/>
      <w:numFmt w:val="bullet"/>
      <w:lvlText w:val=""/>
      <w:lvlJc w:val="left"/>
      <w:pPr>
        <w:tabs>
          <w:tab w:val="num" w:pos="5040"/>
        </w:tabs>
        <w:ind w:left="5040" w:hanging="360"/>
      </w:pPr>
      <w:rPr>
        <w:rFonts w:ascii="Symbol" w:hAnsi="Symbol" w:hint="default"/>
      </w:rPr>
    </w:lvl>
    <w:lvl w:ilvl="7" w:tplc="6A303E2A" w:tentative="1">
      <w:start w:val="1"/>
      <w:numFmt w:val="bullet"/>
      <w:lvlText w:val="o"/>
      <w:lvlJc w:val="left"/>
      <w:pPr>
        <w:tabs>
          <w:tab w:val="num" w:pos="5760"/>
        </w:tabs>
        <w:ind w:left="5760" w:hanging="360"/>
      </w:pPr>
      <w:rPr>
        <w:rFonts w:ascii="Courier New" w:hAnsi="Courier New" w:hint="default"/>
      </w:rPr>
    </w:lvl>
    <w:lvl w:ilvl="8" w:tplc="37ECC1C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C82F37"/>
    <w:multiLevelType w:val="hybridMultilevel"/>
    <w:tmpl w:val="D522F500"/>
    <w:lvl w:ilvl="0" w:tplc="F936568A">
      <w:start w:val="1"/>
      <w:numFmt w:val="bullet"/>
      <w:lvlText w:val=""/>
      <w:lvlJc w:val="left"/>
      <w:pPr>
        <w:tabs>
          <w:tab w:val="num" w:pos="1320"/>
        </w:tabs>
        <w:ind w:left="1320" w:hanging="360"/>
      </w:pPr>
      <w:rPr>
        <w:rFonts w:ascii="Symbol" w:hAnsi="Symbol" w:hint="default"/>
      </w:rPr>
    </w:lvl>
    <w:lvl w:ilvl="1" w:tplc="69902EC6" w:tentative="1">
      <w:start w:val="1"/>
      <w:numFmt w:val="bullet"/>
      <w:lvlText w:val="o"/>
      <w:lvlJc w:val="left"/>
      <w:pPr>
        <w:tabs>
          <w:tab w:val="num" w:pos="2040"/>
        </w:tabs>
        <w:ind w:left="2040" w:hanging="360"/>
      </w:pPr>
      <w:rPr>
        <w:rFonts w:ascii="Courier New" w:hAnsi="Courier New" w:hint="default"/>
      </w:rPr>
    </w:lvl>
    <w:lvl w:ilvl="2" w:tplc="B2E6BC42" w:tentative="1">
      <w:start w:val="1"/>
      <w:numFmt w:val="bullet"/>
      <w:lvlText w:val=""/>
      <w:lvlJc w:val="left"/>
      <w:pPr>
        <w:tabs>
          <w:tab w:val="num" w:pos="2760"/>
        </w:tabs>
        <w:ind w:left="2760" w:hanging="360"/>
      </w:pPr>
      <w:rPr>
        <w:rFonts w:ascii="Wingdings" w:hAnsi="Wingdings" w:hint="default"/>
      </w:rPr>
    </w:lvl>
    <w:lvl w:ilvl="3" w:tplc="AB429C08" w:tentative="1">
      <w:start w:val="1"/>
      <w:numFmt w:val="bullet"/>
      <w:lvlText w:val=""/>
      <w:lvlJc w:val="left"/>
      <w:pPr>
        <w:tabs>
          <w:tab w:val="num" w:pos="3480"/>
        </w:tabs>
        <w:ind w:left="3480" w:hanging="360"/>
      </w:pPr>
      <w:rPr>
        <w:rFonts w:ascii="Symbol" w:hAnsi="Symbol" w:hint="default"/>
      </w:rPr>
    </w:lvl>
    <w:lvl w:ilvl="4" w:tplc="4A94720E" w:tentative="1">
      <w:start w:val="1"/>
      <w:numFmt w:val="bullet"/>
      <w:lvlText w:val="o"/>
      <w:lvlJc w:val="left"/>
      <w:pPr>
        <w:tabs>
          <w:tab w:val="num" w:pos="4200"/>
        </w:tabs>
        <w:ind w:left="4200" w:hanging="360"/>
      </w:pPr>
      <w:rPr>
        <w:rFonts w:ascii="Courier New" w:hAnsi="Courier New" w:hint="default"/>
      </w:rPr>
    </w:lvl>
    <w:lvl w:ilvl="5" w:tplc="16B21300" w:tentative="1">
      <w:start w:val="1"/>
      <w:numFmt w:val="bullet"/>
      <w:lvlText w:val=""/>
      <w:lvlJc w:val="left"/>
      <w:pPr>
        <w:tabs>
          <w:tab w:val="num" w:pos="4920"/>
        </w:tabs>
        <w:ind w:left="4920" w:hanging="360"/>
      </w:pPr>
      <w:rPr>
        <w:rFonts w:ascii="Wingdings" w:hAnsi="Wingdings" w:hint="default"/>
      </w:rPr>
    </w:lvl>
    <w:lvl w:ilvl="6" w:tplc="46E64D58" w:tentative="1">
      <w:start w:val="1"/>
      <w:numFmt w:val="bullet"/>
      <w:lvlText w:val=""/>
      <w:lvlJc w:val="left"/>
      <w:pPr>
        <w:tabs>
          <w:tab w:val="num" w:pos="5640"/>
        </w:tabs>
        <w:ind w:left="5640" w:hanging="360"/>
      </w:pPr>
      <w:rPr>
        <w:rFonts w:ascii="Symbol" w:hAnsi="Symbol" w:hint="default"/>
      </w:rPr>
    </w:lvl>
    <w:lvl w:ilvl="7" w:tplc="927AD53A" w:tentative="1">
      <w:start w:val="1"/>
      <w:numFmt w:val="bullet"/>
      <w:lvlText w:val="o"/>
      <w:lvlJc w:val="left"/>
      <w:pPr>
        <w:tabs>
          <w:tab w:val="num" w:pos="6360"/>
        </w:tabs>
        <w:ind w:left="6360" w:hanging="360"/>
      </w:pPr>
      <w:rPr>
        <w:rFonts w:ascii="Courier New" w:hAnsi="Courier New" w:hint="default"/>
      </w:rPr>
    </w:lvl>
    <w:lvl w:ilvl="8" w:tplc="884C2AC8" w:tentative="1">
      <w:start w:val="1"/>
      <w:numFmt w:val="bullet"/>
      <w:lvlText w:val=""/>
      <w:lvlJc w:val="left"/>
      <w:pPr>
        <w:tabs>
          <w:tab w:val="num" w:pos="7080"/>
        </w:tabs>
        <w:ind w:left="7080" w:hanging="360"/>
      </w:pPr>
      <w:rPr>
        <w:rFonts w:ascii="Wingdings" w:hAnsi="Wingdings" w:hint="default"/>
      </w:rPr>
    </w:lvl>
  </w:abstractNum>
  <w:abstractNum w:abstractNumId="4" w15:restartNumberingAfterBreak="0">
    <w:nsid w:val="172C24C6"/>
    <w:multiLevelType w:val="hybridMultilevel"/>
    <w:tmpl w:val="E528C80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17583519"/>
    <w:multiLevelType w:val="hybridMultilevel"/>
    <w:tmpl w:val="5A389640"/>
    <w:lvl w:ilvl="0" w:tplc="5CFC8204">
      <w:start w:val="1"/>
      <w:numFmt w:val="bullet"/>
      <w:lvlText w:val=""/>
      <w:lvlJc w:val="left"/>
      <w:pPr>
        <w:tabs>
          <w:tab w:val="num" w:pos="1287"/>
        </w:tabs>
        <w:ind w:left="1287" w:hanging="360"/>
      </w:pPr>
      <w:rPr>
        <w:rFonts w:ascii="Symbol" w:hAnsi="Symbol" w:hint="default"/>
      </w:rPr>
    </w:lvl>
    <w:lvl w:ilvl="1" w:tplc="4DA2B87E" w:tentative="1">
      <w:start w:val="1"/>
      <w:numFmt w:val="bullet"/>
      <w:lvlText w:val="o"/>
      <w:lvlJc w:val="left"/>
      <w:pPr>
        <w:tabs>
          <w:tab w:val="num" w:pos="2007"/>
        </w:tabs>
        <w:ind w:left="2007" w:hanging="360"/>
      </w:pPr>
      <w:rPr>
        <w:rFonts w:ascii="Courier New" w:hAnsi="Courier New" w:hint="default"/>
      </w:rPr>
    </w:lvl>
    <w:lvl w:ilvl="2" w:tplc="2CB20A4E" w:tentative="1">
      <w:start w:val="1"/>
      <w:numFmt w:val="bullet"/>
      <w:lvlText w:val=""/>
      <w:lvlJc w:val="left"/>
      <w:pPr>
        <w:tabs>
          <w:tab w:val="num" w:pos="2727"/>
        </w:tabs>
        <w:ind w:left="2727" w:hanging="360"/>
      </w:pPr>
      <w:rPr>
        <w:rFonts w:ascii="Wingdings" w:hAnsi="Wingdings" w:hint="default"/>
      </w:rPr>
    </w:lvl>
    <w:lvl w:ilvl="3" w:tplc="AF8C1B1E" w:tentative="1">
      <w:start w:val="1"/>
      <w:numFmt w:val="bullet"/>
      <w:lvlText w:val=""/>
      <w:lvlJc w:val="left"/>
      <w:pPr>
        <w:tabs>
          <w:tab w:val="num" w:pos="3447"/>
        </w:tabs>
        <w:ind w:left="3447" w:hanging="360"/>
      </w:pPr>
      <w:rPr>
        <w:rFonts w:ascii="Symbol" w:hAnsi="Symbol" w:hint="default"/>
      </w:rPr>
    </w:lvl>
    <w:lvl w:ilvl="4" w:tplc="C2E0975E" w:tentative="1">
      <w:start w:val="1"/>
      <w:numFmt w:val="bullet"/>
      <w:lvlText w:val="o"/>
      <w:lvlJc w:val="left"/>
      <w:pPr>
        <w:tabs>
          <w:tab w:val="num" w:pos="4167"/>
        </w:tabs>
        <w:ind w:left="4167" w:hanging="360"/>
      </w:pPr>
      <w:rPr>
        <w:rFonts w:ascii="Courier New" w:hAnsi="Courier New" w:hint="default"/>
      </w:rPr>
    </w:lvl>
    <w:lvl w:ilvl="5" w:tplc="7D32670E" w:tentative="1">
      <w:start w:val="1"/>
      <w:numFmt w:val="bullet"/>
      <w:lvlText w:val=""/>
      <w:lvlJc w:val="left"/>
      <w:pPr>
        <w:tabs>
          <w:tab w:val="num" w:pos="4887"/>
        </w:tabs>
        <w:ind w:left="4887" w:hanging="360"/>
      </w:pPr>
      <w:rPr>
        <w:rFonts w:ascii="Wingdings" w:hAnsi="Wingdings" w:hint="default"/>
      </w:rPr>
    </w:lvl>
    <w:lvl w:ilvl="6" w:tplc="1C42933E" w:tentative="1">
      <w:start w:val="1"/>
      <w:numFmt w:val="bullet"/>
      <w:lvlText w:val=""/>
      <w:lvlJc w:val="left"/>
      <w:pPr>
        <w:tabs>
          <w:tab w:val="num" w:pos="5607"/>
        </w:tabs>
        <w:ind w:left="5607" w:hanging="360"/>
      </w:pPr>
      <w:rPr>
        <w:rFonts w:ascii="Symbol" w:hAnsi="Symbol" w:hint="default"/>
      </w:rPr>
    </w:lvl>
    <w:lvl w:ilvl="7" w:tplc="4446C742" w:tentative="1">
      <w:start w:val="1"/>
      <w:numFmt w:val="bullet"/>
      <w:lvlText w:val="o"/>
      <w:lvlJc w:val="left"/>
      <w:pPr>
        <w:tabs>
          <w:tab w:val="num" w:pos="6327"/>
        </w:tabs>
        <w:ind w:left="6327" w:hanging="360"/>
      </w:pPr>
      <w:rPr>
        <w:rFonts w:ascii="Courier New" w:hAnsi="Courier New" w:hint="default"/>
      </w:rPr>
    </w:lvl>
    <w:lvl w:ilvl="8" w:tplc="CF023ADE"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18FC4261"/>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1B0B2D05"/>
    <w:multiLevelType w:val="hybridMultilevel"/>
    <w:tmpl w:val="D702F77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93F170F"/>
    <w:multiLevelType w:val="hybridMultilevel"/>
    <w:tmpl w:val="AA8A151A"/>
    <w:lvl w:ilvl="0" w:tplc="EAFC48B6">
      <w:start w:val="1"/>
      <w:numFmt w:val="bullet"/>
      <w:lvlText w:val="-"/>
      <w:lvlJc w:val="left"/>
      <w:pPr>
        <w:tabs>
          <w:tab w:val="num" w:pos="1077"/>
        </w:tabs>
        <w:ind w:left="1276" w:hanging="199"/>
      </w:pPr>
      <w:rPr>
        <w:rFonts w:ascii="Times New Roman" w:hAnsi="Times New Roman" w:hint="default"/>
      </w:rPr>
    </w:lvl>
    <w:lvl w:ilvl="1" w:tplc="C82279D6" w:tentative="1">
      <w:start w:val="1"/>
      <w:numFmt w:val="bullet"/>
      <w:lvlText w:val="o"/>
      <w:lvlJc w:val="left"/>
      <w:pPr>
        <w:tabs>
          <w:tab w:val="num" w:pos="1440"/>
        </w:tabs>
        <w:ind w:left="1440" w:hanging="360"/>
      </w:pPr>
      <w:rPr>
        <w:rFonts w:ascii="Courier New" w:hAnsi="Courier New" w:hint="default"/>
      </w:rPr>
    </w:lvl>
    <w:lvl w:ilvl="2" w:tplc="9D42703A" w:tentative="1">
      <w:start w:val="1"/>
      <w:numFmt w:val="bullet"/>
      <w:lvlText w:val=""/>
      <w:lvlJc w:val="left"/>
      <w:pPr>
        <w:tabs>
          <w:tab w:val="num" w:pos="2160"/>
        </w:tabs>
        <w:ind w:left="2160" w:hanging="360"/>
      </w:pPr>
      <w:rPr>
        <w:rFonts w:ascii="Wingdings" w:hAnsi="Wingdings" w:hint="default"/>
      </w:rPr>
    </w:lvl>
    <w:lvl w:ilvl="3" w:tplc="ED0476B4" w:tentative="1">
      <w:start w:val="1"/>
      <w:numFmt w:val="bullet"/>
      <w:lvlText w:val=""/>
      <w:lvlJc w:val="left"/>
      <w:pPr>
        <w:tabs>
          <w:tab w:val="num" w:pos="2880"/>
        </w:tabs>
        <w:ind w:left="2880" w:hanging="360"/>
      </w:pPr>
      <w:rPr>
        <w:rFonts w:ascii="Symbol" w:hAnsi="Symbol" w:hint="default"/>
      </w:rPr>
    </w:lvl>
    <w:lvl w:ilvl="4" w:tplc="418C2104" w:tentative="1">
      <w:start w:val="1"/>
      <w:numFmt w:val="bullet"/>
      <w:lvlText w:val="o"/>
      <w:lvlJc w:val="left"/>
      <w:pPr>
        <w:tabs>
          <w:tab w:val="num" w:pos="3600"/>
        </w:tabs>
        <w:ind w:left="3600" w:hanging="360"/>
      </w:pPr>
      <w:rPr>
        <w:rFonts w:ascii="Courier New" w:hAnsi="Courier New" w:hint="default"/>
      </w:rPr>
    </w:lvl>
    <w:lvl w:ilvl="5" w:tplc="EE20E526" w:tentative="1">
      <w:start w:val="1"/>
      <w:numFmt w:val="bullet"/>
      <w:lvlText w:val=""/>
      <w:lvlJc w:val="left"/>
      <w:pPr>
        <w:tabs>
          <w:tab w:val="num" w:pos="4320"/>
        </w:tabs>
        <w:ind w:left="4320" w:hanging="360"/>
      </w:pPr>
      <w:rPr>
        <w:rFonts w:ascii="Wingdings" w:hAnsi="Wingdings" w:hint="default"/>
      </w:rPr>
    </w:lvl>
    <w:lvl w:ilvl="6" w:tplc="7C962C38" w:tentative="1">
      <w:start w:val="1"/>
      <w:numFmt w:val="bullet"/>
      <w:lvlText w:val=""/>
      <w:lvlJc w:val="left"/>
      <w:pPr>
        <w:tabs>
          <w:tab w:val="num" w:pos="5040"/>
        </w:tabs>
        <w:ind w:left="5040" w:hanging="360"/>
      </w:pPr>
      <w:rPr>
        <w:rFonts w:ascii="Symbol" w:hAnsi="Symbol" w:hint="default"/>
      </w:rPr>
    </w:lvl>
    <w:lvl w:ilvl="7" w:tplc="C69AABC2" w:tentative="1">
      <w:start w:val="1"/>
      <w:numFmt w:val="bullet"/>
      <w:lvlText w:val="o"/>
      <w:lvlJc w:val="left"/>
      <w:pPr>
        <w:tabs>
          <w:tab w:val="num" w:pos="5760"/>
        </w:tabs>
        <w:ind w:left="5760" w:hanging="360"/>
      </w:pPr>
      <w:rPr>
        <w:rFonts w:ascii="Courier New" w:hAnsi="Courier New" w:hint="default"/>
      </w:rPr>
    </w:lvl>
    <w:lvl w:ilvl="8" w:tplc="E24CF7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EF581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FB7AD8"/>
    <w:multiLevelType w:val="hybridMultilevel"/>
    <w:tmpl w:val="ED8CB25A"/>
    <w:lvl w:ilvl="0" w:tplc="A008CE10">
      <w:start w:val="1"/>
      <w:numFmt w:val="bullet"/>
      <w:lvlText w:val="-"/>
      <w:lvlJc w:val="left"/>
      <w:pPr>
        <w:tabs>
          <w:tab w:val="num" w:pos="1077"/>
        </w:tabs>
        <w:ind w:left="1276" w:hanging="199"/>
      </w:pPr>
      <w:rPr>
        <w:rFonts w:ascii="Times New Roman" w:hAnsi="Times New Roman" w:hint="default"/>
      </w:rPr>
    </w:lvl>
    <w:lvl w:ilvl="1" w:tplc="F63E7354" w:tentative="1">
      <w:start w:val="1"/>
      <w:numFmt w:val="bullet"/>
      <w:lvlText w:val="o"/>
      <w:lvlJc w:val="left"/>
      <w:pPr>
        <w:tabs>
          <w:tab w:val="num" w:pos="1440"/>
        </w:tabs>
        <w:ind w:left="1440" w:hanging="360"/>
      </w:pPr>
      <w:rPr>
        <w:rFonts w:ascii="Courier New" w:hAnsi="Courier New" w:hint="default"/>
      </w:rPr>
    </w:lvl>
    <w:lvl w:ilvl="2" w:tplc="D58291C6" w:tentative="1">
      <w:start w:val="1"/>
      <w:numFmt w:val="bullet"/>
      <w:lvlText w:val=""/>
      <w:lvlJc w:val="left"/>
      <w:pPr>
        <w:tabs>
          <w:tab w:val="num" w:pos="2160"/>
        </w:tabs>
        <w:ind w:left="2160" w:hanging="360"/>
      </w:pPr>
      <w:rPr>
        <w:rFonts w:ascii="Wingdings" w:hAnsi="Wingdings" w:hint="default"/>
      </w:rPr>
    </w:lvl>
    <w:lvl w:ilvl="3" w:tplc="C4D6BE44" w:tentative="1">
      <w:start w:val="1"/>
      <w:numFmt w:val="bullet"/>
      <w:lvlText w:val=""/>
      <w:lvlJc w:val="left"/>
      <w:pPr>
        <w:tabs>
          <w:tab w:val="num" w:pos="2880"/>
        </w:tabs>
        <w:ind w:left="2880" w:hanging="360"/>
      </w:pPr>
      <w:rPr>
        <w:rFonts w:ascii="Symbol" w:hAnsi="Symbol" w:hint="default"/>
      </w:rPr>
    </w:lvl>
    <w:lvl w:ilvl="4" w:tplc="B4D4A868" w:tentative="1">
      <w:start w:val="1"/>
      <w:numFmt w:val="bullet"/>
      <w:lvlText w:val="o"/>
      <w:lvlJc w:val="left"/>
      <w:pPr>
        <w:tabs>
          <w:tab w:val="num" w:pos="3600"/>
        </w:tabs>
        <w:ind w:left="3600" w:hanging="360"/>
      </w:pPr>
      <w:rPr>
        <w:rFonts w:ascii="Courier New" w:hAnsi="Courier New" w:hint="default"/>
      </w:rPr>
    </w:lvl>
    <w:lvl w:ilvl="5" w:tplc="47FAA332" w:tentative="1">
      <w:start w:val="1"/>
      <w:numFmt w:val="bullet"/>
      <w:lvlText w:val=""/>
      <w:lvlJc w:val="left"/>
      <w:pPr>
        <w:tabs>
          <w:tab w:val="num" w:pos="4320"/>
        </w:tabs>
        <w:ind w:left="4320" w:hanging="360"/>
      </w:pPr>
      <w:rPr>
        <w:rFonts w:ascii="Wingdings" w:hAnsi="Wingdings" w:hint="default"/>
      </w:rPr>
    </w:lvl>
    <w:lvl w:ilvl="6" w:tplc="65EEB358" w:tentative="1">
      <w:start w:val="1"/>
      <w:numFmt w:val="bullet"/>
      <w:lvlText w:val=""/>
      <w:lvlJc w:val="left"/>
      <w:pPr>
        <w:tabs>
          <w:tab w:val="num" w:pos="5040"/>
        </w:tabs>
        <w:ind w:left="5040" w:hanging="360"/>
      </w:pPr>
      <w:rPr>
        <w:rFonts w:ascii="Symbol" w:hAnsi="Symbol" w:hint="default"/>
      </w:rPr>
    </w:lvl>
    <w:lvl w:ilvl="7" w:tplc="B9D0FAFA" w:tentative="1">
      <w:start w:val="1"/>
      <w:numFmt w:val="bullet"/>
      <w:lvlText w:val="o"/>
      <w:lvlJc w:val="left"/>
      <w:pPr>
        <w:tabs>
          <w:tab w:val="num" w:pos="5760"/>
        </w:tabs>
        <w:ind w:left="5760" w:hanging="360"/>
      </w:pPr>
      <w:rPr>
        <w:rFonts w:ascii="Courier New" w:hAnsi="Courier New" w:hint="default"/>
      </w:rPr>
    </w:lvl>
    <w:lvl w:ilvl="8" w:tplc="FDD2FF3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7913AF"/>
    <w:multiLevelType w:val="hybridMultilevel"/>
    <w:tmpl w:val="049C11D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A551A07"/>
    <w:multiLevelType w:val="singleLevel"/>
    <w:tmpl w:val="78EC77B0"/>
    <w:lvl w:ilvl="0">
      <w:numFmt w:val="bullet"/>
      <w:lvlText w:val="-"/>
      <w:lvlJc w:val="left"/>
      <w:pPr>
        <w:tabs>
          <w:tab w:val="num" w:pos="960"/>
        </w:tabs>
        <w:ind w:left="960" w:hanging="360"/>
      </w:pPr>
      <w:rPr>
        <w:rFonts w:hint="default"/>
      </w:rPr>
    </w:lvl>
  </w:abstractNum>
  <w:abstractNum w:abstractNumId="13" w15:restartNumberingAfterBreak="0">
    <w:nsid w:val="3DFF146E"/>
    <w:multiLevelType w:val="hybridMultilevel"/>
    <w:tmpl w:val="DB6AFB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2E1E12"/>
    <w:multiLevelType w:val="hybridMultilevel"/>
    <w:tmpl w:val="32A0B0EC"/>
    <w:lvl w:ilvl="0" w:tplc="5BD09C90">
      <w:start w:val="1"/>
      <w:numFmt w:val="bullet"/>
      <w:lvlText w:val=""/>
      <w:lvlJc w:val="left"/>
      <w:pPr>
        <w:tabs>
          <w:tab w:val="num" w:pos="1320"/>
        </w:tabs>
        <w:ind w:left="1320" w:hanging="360"/>
      </w:pPr>
      <w:rPr>
        <w:rFonts w:ascii="Symbol" w:hAnsi="Symbol" w:hint="default"/>
      </w:rPr>
    </w:lvl>
    <w:lvl w:ilvl="1" w:tplc="ADC4E844" w:tentative="1">
      <w:start w:val="1"/>
      <w:numFmt w:val="bullet"/>
      <w:lvlText w:val="o"/>
      <w:lvlJc w:val="left"/>
      <w:pPr>
        <w:tabs>
          <w:tab w:val="num" w:pos="1440"/>
        </w:tabs>
        <w:ind w:left="1440" w:hanging="360"/>
      </w:pPr>
      <w:rPr>
        <w:rFonts w:ascii="Courier New" w:hAnsi="Courier New" w:hint="default"/>
      </w:rPr>
    </w:lvl>
    <w:lvl w:ilvl="2" w:tplc="F71817A6" w:tentative="1">
      <w:start w:val="1"/>
      <w:numFmt w:val="bullet"/>
      <w:lvlText w:val=""/>
      <w:lvlJc w:val="left"/>
      <w:pPr>
        <w:tabs>
          <w:tab w:val="num" w:pos="2160"/>
        </w:tabs>
        <w:ind w:left="2160" w:hanging="360"/>
      </w:pPr>
      <w:rPr>
        <w:rFonts w:ascii="Wingdings" w:hAnsi="Wingdings" w:hint="default"/>
      </w:rPr>
    </w:lvl>
    <w:lvl w:ilvl="3" w:tplc="877E8E10" w:tentative="1">
      <w:start w:val="1"/>
      <w:numFmt w:val="bullet"/>
      <w:lvlText w:val=""/>
      <w:lvlJc w:val="left"/>
      <w:pPr>
        <w:tabs>
          <w:tab w:val="num" w:pos="2880"/>
        </w:tabs>
        <w:ind w:left="2880" w:hanging="360"/>
      </w:pPr>
      <w:rPr>
        <w:rFonts w:ascii="Symbol" w:hAnsi="Symbol" w:hint="default"/>
      </w:rPr>
    </w:lvl>
    <w:lvl w:ilvl="4" w:tplc="96A0ECDC" w:tentative="1">
      <w:start w:val="1"/>
      <w:numFmt w:val="bullet"/>
      <w:lvlText w:val="o"/>
      <w:lvlJc w:val="left"/>
      <w:pPr>
        <w:tabs>
          <w:tab w:val="num" w:pos="3600"/>
        </w:tabs>
        <w:ind w:left="3600" w:hanging="360"/>
      </w:pPr>
      <w:rPr>
        <w:rFonts w:ascii="Courier New" w:hAnsi="Courier New" w:hint="default"/>
      </w:rPr>
    </w:lvl>
    <w:lvl w:ilvl="5" w:tplc="687613B2" w:tentative="1">
      <w:start w:val="1"/>
      <w:numFmt w:val="bullet"/>
      <w:lvlText w:val=""/>
      <w:lvlJc w:val="left"/>
      <w:pPr>
        <w:tabs>
          <w:tab w:val="num" w:pos="4320"/>
        </w:tabs>
        <w:ind w:left="4320" w:hanging="360"/>
      </w:pPr>
      <w:rPr>
        <w:rFonts w:ascii="Wingdings" w:hAnsi="Wingdings" w:hint="default"/>
      </w:rPr>
    </w:lvl>
    <w:lvl w:ilvl="6" w:tplc="06AEA7A6" w:tentative="1">
      <w:start w:val="1"/>
      <w:numFmt w:val="bullet"/>
      <w:lvlText w:val=""/>
      <w:lvlJc w:val="left"/>
      <w:pPr>
        <w:tabs>
          <w:tab w:val="num" w:pos="5040"/>
        </w:tabs>
        <w:ind w:left="5040" w:hanging="360"/>
      </w:pPr>
      <w:rPr>
        <w:rFonts w:ascii="Symbol" w:hAnsi="Symbol" w:hint="default"/>
      </w:rPr>
    </w:lvl>
    <w:lvl w:ilvl="7" w:tplc="131C65AA" w:tentative="1">
      <w:start w:val="1"/>
      <w:numFmt w:val="bullet"/>
      <w:lvlText w:val="o"/>
      <w:lvlJc w:val="left"/>
      <w:pPr>
        <w:tabs>
          <w:tab w:val="num" w:pos="5760"/>
        </w:tabs>
        <w:ind w:left="5760" w:hanging="360"/>
      </w:pPr>
      <w:rPr>
        <w:rFonts w:ascii="Courier New" w:hAnsi="Courier New" w:hint="default"/>
      </w:rPr>
    </w:lvl>
    <w:lvl w:ilvl="8" w:tplc="8924AD3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097A57"/>
    <w:multiLevelType w:val="hybridMultilevel"/>
    <w:tmpl w:val="BBBCB75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621307B"/>
    <w:multiLevelType w:val="hybridMultilevel"/>
    <w:tmpl w:val="48288BE0"/>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7" w15:restartNumberingAfterBreak="0">
    <w:nsid w:val="53256EBA"/>
    <w:multiLevelType w:val="hybridMultilevel"/>
    <w:tmpl w:val="43B013C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15:restartNumberingAfterBreak="0">
    <w:nsid w:val="56E83C11"/>
    <w:multiLevelType w:val="hybridMultilevel"/>
    <w:tmpl w:val="2BDE39FC"/>
    <w:lvl w:ilvl="0" w:tplc="CB82F79C">
      <w:start w:val="1"/>
      <w:numFmt w:val="bullet"/>
      <w:lvlText w:val="-"/>
      <w:lvlJc w:val="left"/>
      <w:pPr>
        <w:tabs>
          <w:tab w:val="num" w:pos="2154"/>
        </w:tabs>
        <w:ind w:left="2353" w:hanging="199"/>
      </w:pPr>
      <w:rPr>
        <w:rFonts w:ascii="Times New Roman" w:hAnsi="Times New Roman" w:hint="default"/>
      </w:rPr>
    </w:lvl>
    <w:lvl w:ilvl="1" w:tplc="B98A74CE" w:tentative="1">
      <w:start w:val="1"/>
      <w:numFmt w:val="bullet"/>
      <w:lvlText w:val="o"/>
      <w:lvlJc w:val="left"/>
      <w:pPr>
        <w:tabs>
          <w:tab w:val="num" w:pos="2517"/>
        </w:tabs>
        <w:ind w:left="2517" w:hanging="360"/>
      </w:pPr>
      <w:rPr>
        <w:rFonts w:ascii="Courier New" w:hAnsi="Courier New" w:hint="default"/>
      </w:rPr>
    </w:lvl>
    <w:lvl w:ilvl="2" w:tplc="7318DBE4" w:tentative="1">
      <w:start w:val="1"/>
      <w:numFmt w:val="bullet"/>
      <w:lvlText w:val=""/>
      <w:lvlJc w:val="left"/>
      <w:pPr>
        <w:tabs>
          <w:tab w:val="num" w:pos="3237"/>
        </w:tabs>
        <w:ind w:left="3237" w:hanging="360"/>
      </w:pPr>
      <w:rPr>
        <w:rFonts w:ascii="Wingdings" w:hAnsi="Wingdings" w:hint="default"/>
      </w:rPr>
    </w:lvl>
    <w:lvl w:ilvl="3" w:tplc="57AE1092" w:tentative="1">
      <w:start w:val="1"/>
      <w:numFmt w:val="bullet"/>
      <w:lvlText w:val=""/>
      <w:lvlJc w:val="left"/>
      <w:pPr>
        <w:tabs>
          <w:tab w:val="num" w:pos="3957"/>
        </w:tabs>
        <w:ind w:left="3957" w:hanging="360"/>
      </w:pPr>
      <w:rPr>
        <w:rFonts w:ascii="Symbol" w:hAnsi="Symbol" w:hint="default"/>
      </w:rPr>
    </w:lvl>
    <w:lvl w:ilvl="4" w:tplc="228CD8AA" w:tentative="1">
      <w:start w:val="1"/>
      <w:numFmt w:val="bullet"/>
      <w:lvlText w:val="o"/>
      <w:lvlJc w:val="left"/>
      <w:pPr>
        <w:tabs>
          <w:tab w:val="num" w:pos="4677"/>
        </w:tabs>
        <w:ind w:left="4677" w:hanging="360"/>
      </w:pPr>
      <w:rPr>
        <w:rFonts w:ascii="Courier New" w:hAnsi="Courier New" w:hint="default"/>
      </w:rPr>
    </w:lvl>
    <w:lvl w:ilvl="5" w:tplc="9C92354A" w:tentative="1">
      <w:start w:val="1"/>
      <w:numFmt w:val="bullet"/>
      <w:lvlText w:val=""/>
      <w:lvlJc w:val="left"/>
      <w:pPr>
        <w:tabs>
          <w:tab w:val="num" w:pos="5397"/>
        </w:tabs>
        <w:ind w:left="5397" w:hanging="360"/>
      </w:pPr>
      <w:rPr>
        <w:rFonts w:ascii="Wingdings" w:hAnsi="Wingdings" w:hint="default"/>
      </w:rPr>
    </w:lvl>
    <w:lvl w:ilvl="6" w:tplc="A3269B1E" w:tentative="1">
      <w:start w:val="1"/>
      <w:numFmt w:val="bullet"/>
      <w:lvlText w:val=""/>
      <w:lvlJc w:val="left"/>
      <w:pPr>
        <w:tabs>
          <w:tab w:val="num" w:pos="6117"/>
        </w:tabs>
        <w:ind w:left="6117" w:hanging="360"/>
      </w:pPr>
      <w:rPr>
        <w:rFonts w:ascii="Symbol" w:hAnsi="Symbol" w:hint="default"/>
      </w:rPr>
    </w:lvl>
    <w:lvl w:ilvl="7" w:tplc="3B6AAF3E" w:tentative="1">
      <w:start w:val="1"/>
      <w:numFmt w:val="bullet"/>
      <w:lvlText w:val="o"/>
      <w:lvlJc w:val="left"/>
      <w:pPr>
        <w:tabs>
          <w:tab w:val="num" w:pos="6837"/>
        </w:tabs>
        <w:ind w:left="6837" w:hanging="360"/>
      </w:pPr>
      <w:rPr>
        <w:rFonts w:ascii="Courier New" w:hAnsi="Courier New" w:hint="default"/>
      </w:rPr>
    </w:lvl>
    <w:lvl w:ilvl="8" w:tplc="8F3EDBC8" w:tentative="1">
      <w:start w:val="1"/>
      <w:numFmt w:val="bullet"/>
      <w:lvlText w:val=""/>
      <w:lvlJc w:val="left"/>
      <w:pPr>
        <w:tabs>
          <w:tab w:val="num" w:pos="7557"/>
        </w:tabs>
        <w:ind w:left="7557" w:hanging="360"/>
      </w:pPr>
      <w:rPr>
        <w:rFonts w:ascii="Wingdings" w:hAnsi="Wingdings" w:hint="default"/>
      </w:rPr>
    </w:lvl>
  </w:abstractNum>
  <w:abstractNum w:abstractNumId="19" w15:restartNumberingAfterBreak="0">
    <w:nsid w:val="593C0E48"/>
    <w:multiLevelType w:val="hybridMultilevel"/>
    <w:tmpl w:val="5F501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E2F7F5F"/>
    <w:multiLevelType w:val="hybridMultilevel"/>
    <w:tmpl w:val="8C8426BE"/>
    <w:lvl w:ilvl="0" w:tplc="E5E074B0">
      <w:start w:val="1"/>
      <w:numFmt w:val="bullet"/>
      <w:lvlText w:val="-"/>
      <w:lvlJc w:val="left"/>
      <w:pPr>
        <w:tabs>
          <w:tab w:val="num" w:pos="1644"/>
        </w:tabs>
        <w:ind w:left="1843" w:hanging="199"/>
      </w:pPr>
      <w:rPr>
        <w:rFonts w:ascii="Times New Roman" w:hAnsi="Times New Roman" w:hint="default"/>
      </w:rPr>
    </w:lvl>
    <w:lvl w:ilvl="1" w:tplc="0E60F170" w:tentative="1">
      <w:start w:val="1"/>
      <w:numFmt w:val="bullet"/>
      <w:lvlText w:val="o"/>
      <w:lvlJc w:val="left"/>
      <w:pPr>
        <w:tabs>
          <w:tab w:val="num" w:pos="2007"/>
        </w:tabs>
        <w:ind w:left="2007" w:hanging="360"/>
      </w:pPr>
      <w:rPr>
        <w:rFonts w:ascii="Courier New" w:hAnsi="Courier New" w:hint="default"/>
      </w:rPr>
    </w:lvl>
    <w:lvl w:ilvl="2" w:tplc="EB8CF308" w:tentative="1">
      <w:start w:val="1"/>
      <w:numFmt w:val="bullet"/>
      <w:lvlText w:val=""/>
      <w:lvlJc w:val="left"/>
      <w:pPr>
        <w:tabs>
          <w:tab w:val="num" w:pos="2727"/>
        </w:tabs>
        <w:ind w:left="2727" w:hanging="360"/>
      </w:pPr>
      <w:rPr>
        <w:rFonts w:ascii="Wingdings" w:hAnsi="Wingdings" w:hint="default"/>
      </w:rPr>
    </w:lvl>
    <w:lvl w:ilvl="3" w:tplc="3EB046C2" w:tentative="1">
      <w:start w:val="1"/>
      <w:numFmt w:val="bullet"/>
      <w:lvlText w:val=""/>
      <w:lvlJc w:val="left"/>
      <w:pPr>
        <w:tabs>
          <w:tab w:val="num" w:pos="3447"/>
        </w:tabs>
        <w:ind w:left="3447" w:hanging="360"/>
      </w:pPr>
      <w:rPr>
        <w:rFonts w:ascii="Symbol" w:hAnsi="Symbol" w:hint="default"/>
      </w:rPr>
    </w:lvl>
    <w:lvl w:ilvl="4" w:tplc="F3EC26D2" w:tentative="1">
      <w:start w:val="1"/>
      <w:numFmt w:val="bullet"/>
      <w:lvlText w:val="o"/>
      <w:lvlJc w:val="left"/>
      <w:pPr>
        <w:tabs>
          <w:tab w:val="num" w:pos="4167"/>
        </w:tabs>
        <w:ind w:left="4167" w:hanging="360"/>
      </w:pPr>
      <w:rPr>
        <w:rFonts w:ascii="Courier New" w:hAnsi="Courier New" w:hint="default"/>
      </w:rPr>
    </w:lvl>
    <w:lvl w:ilvl="5" w:tplc="A3C414F2" w:tentative="1">
      <w:start w:val="1"/>
      <w:numFmt w:val="bullet"/>
      <w:lvlText w:val=""/>
      <w:lvlJc w:val="left"/>
      <w:pPr>
        <w:tabs>
          <w:tab w:val="num" w:pos="4887"/>
        </w:tabs>
        <w:ind w:left="4887" w:hanging="360"/>
      </w:pPr>
      <w:rPr>
        <w:rFonts w:ascii="Wingdings" w:hAnsi="Wingdings" w:hint="default"/>
      </w:rPr>
    </w:lvl>
    <w:lvl w:ilvl="6" w:tplc="F4A876B0" w:tentative="1">
      <w:start w:val="1"/>
      <w:numFmt w:val="bullet"/>
      <w:lvlText w:val=""/>
      <w:lvlJc w:val="left"/>
      <w:pPr>
        <w:tabs>
          <w:tab w:val="num" w:pos="5607"/>
        </w:tabs>
        <w:ind w:left="5607" w:hanging="360"/>
      </w:pPr>
      <w:rPr>
        <w:rFonts w:ascii="Symbol" w:hAnsi="Symbol" w:hint="default"/>
      </w:rPr>
    </w:lvl>
    <w:lvl w:ilvl="7" w:tplc="C024D144" w:tentative="1">
      <w:start w:val="1"/>
      <w:numFmt w:val="bullet"/>
      <w:lvlText w:val="o"/>
      <w:lvlJc w:val="left"/>
      <w:pPr>
        <w:tabs>
          <w:tab w:val="num" w:pos="6327"/>
        </w:tabs>
        <w:ind w:left="6327" w:hanging="360"/>
      </w:pPr>
      <w:rPr>
        <w:rFonts w:ascii="Courier New" w:hAnsi="Courier New" w:hint="default"/>
      </w:rPr>
    </w:lvl>
    <w:lvl w:ilvl="8" w:tplc="A3488654"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604D41CB"/>
    <w:multiLevelType w:val="hybridMultilevel"/>
    <w:tmpl w:val="B008C892"/>
    <w:lvl w:ilvl="0" w:tplc="4EE62EB8">
      <w:start w:val="1"/>
      <w:numFmt w:val="bullet"/>
      <w:lvlText w:val=""/>
      <w:lvlJc w:val="left"/>
      <w:pPr>
        <w:tabs>
          <w:tab w:val="num" w:pos="1320"/>
        </w:tabs>
        <w:ind w:left="1320" w:hanging="360"/>
      </w:pPr>
      <w:rPr>
        <w:rFonts w:ascii="Symbol" w:hAnsi="Symbol" w:hint="default"/>
      </w:rPr>
    </w:lvl>
    <w:lvl w:ilvl="1" w:tplc="B7223F6A" w:tentative="1">
      <w:start w:val="1"/>
      <w:numFmt w:val="bullet"/>
      <w:lvlText w:val="o"/>
      <w:lvlJc w:val="left"/>
      <w:pPr>
        <w:tabs>
          <w:tab w:val="num" w:pos="1440"/>
        </w:tabs>
        <w:ind w:left="1440" w:hanging="360"/>
      </w:pPr>
      <w:rPr>
        <w:rFonts w:ascii="Courier New" w:hAnsi="Courier New" w:hint="default"/>
      </w:rPr>
    </w:lvl>
    <w:lvl w:ilvl="2" w:tplc="29B67FB6" w:tentative="1">
      <w:start w:val="1"/>
      <w:numFmt w:val="bullet"/>
      <w:lvlText w:val=""/>
      <w:lvlJc w:val="left"/>
      <w:pPr>
        <w:tabs>
          <w:tab w:val="num" w:pos="2160"/>
        </w:tabs>
        <w:ind w:left="2160" w:hanging="360"/>
      </w:pPr>
      <w:rPr>
        <w:rFonts w:ascii="Wingdings" w:hAnsi="Wingdings" w:hint="default"/>
      </w:rPr>
    </w:lvl>
    <w:lvl w:ilvl="3" w:tplc="CB982A02" w:tentative="1">
      <w:start w:val="1"/>
      <w:numFmt w:val="bullet"/>
      <w:lvlText w:val=""/>
      <w:lvlJc w:val="left"/>
      <w:pPr>
        <w:tabs>
          <w:tab w:val="num" w:pos="2880"/>
        </w:tabs>
        <w:ind w:left="2880" w:hanging="360"/>
      </w:pPr>
      <w:rPr>
        <w:rFonts w:ascii="Symbol" w:hAnsi="Symbol" w:hint="default"/>
      </w:rPr>
    </w:lvl>
    <w:lvl w:ilvl="4" w:tplc="10ECB486" w:tentative="1">
      <w:start w:val="1"/>
      <w:numFmt w:val="bullet"/>
      <w:lvlText w:val="o"/>
      <w:lvlJc w:val="left"/>
      <w:pPr>
        <w:tabs>
          <w:tab w:val="num" w:pos="3600"/>
        </w:tabs>
        <w:ind w:left="3600" w:hanging="360"/>
      </w:pPr>
      <w:rPr>
        <w:rFonts w:ascii="Courier New" w:hAnsi="Courier New" w:hint="default"/>
      </w:rPr>
    </w:lvl>
    <w:lvl w:ilvl="5" w:tplc="F03CF864" w:tentative="1">
      <w:start w:val="1"/>
      <w:numFmt w:val="bullet"/>
      <w:lvlText w:val=""/>
      <w:lvlJc w:val="left"/>
      <w:pPr>
        <w:tabs>
          <w:tab w:val="num" w:pos="4320"/>
        </w:tabs>
        <w:ind w:left="4320" w:hanging="360"/>
      </w:pPr>
      <w:rPr>
        <w:rFonts w:ascii="Wingdings" w:hAnsi="Wingdings" w:hint="default"/>
      </w:rPr>
    </w:lvl>
    <w:lvl w:ilvl="6" w:tplc="DAEE5EE2" w:tentative="1">
      <w:start w:val="1"/>
      <w:numFmt w:val="bullet"/>
      <w:lvlText w:val=""/>
      <w:lvlJc w:val="left"/>
      <w:pPr>
        <w:tabs>
          <w:tab w:val="num" w:pos="5040"/>
        </w:tabs>
        <w:ind w:left="5040" w:hanging="360"/>
      </w:pPr>
      <w:rPr>
        <w:rFonts w:ascii="Symbol" w:hAnsi="Symbol" w:hint="default"/>
      </w:rPr>
    </w:lvl>
    <w:lvl w:ilvl="7" w:tplc="57E2E4AE" w:tentative="1">
      <w:start w:val="1"/>
      <w:numFmt w:val="bullet"/>
      <w:lvlText w:val="o"/>
      <w:lvlJc w:val="left"/>
      <w:pPr>
        <w:tabs>
          <w:tab w:val="num" w:pos="5760"/>
        </w:tabs>
        <w:ind w:left="5760" w:hanging="360"/>
      </w:pPr>
      <w:rPr>
        <w:rFonts w:ascii="Courier New" w:hAnsi="Courier New" w:hint="default"/>
      </w:rPr>
    </w:lvl>
    <w:lvl w:ilvl="8" w:tplc="AB8224C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89382D"/>
    <w:multiLevelType w:val="hybridMultilevel"/>
    <w:tmpl w:val="AF4217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8475DF"/>
    <w:multiLevelType w:val="hybridMultilevel"/>
    <w:tmpl w:val="24DA4B48"/>
    <w:lvl w:ilvl="0" w:tplc="09EE5D98">
      <w:start w:val="1"/>
      <w:numFmt w:val="bullet"/>
      <w:lvlText w:val="-"/>
      <w:lvlJc w:val="left"/>
      <w:pPr>
        <w:tabs>
          <w:tab w:val="num" w:pos="0"/>
        </w:tabs>
        <w:ind w:left="199" w:hanging="199"/>
      </w:pPr>
      <w:rPr>
        <w:rFonts w:ascii="Times New Roman" w:hAnsi="Times New Roman" w:hint="default"/>
      </w:rPr>
    </w:lvl>
    <w:lvl w:ilvl="1" w:tplc="E76A4908">
      <w:start w:val="1"/>
      <w:numFmt w:val="bullet"/>
      <w:lvlText w:val="-"/>
      <w:lvlJc w:val="left"/>
      <w:pPr>
        <w:tabs>
          <w:tab w:val="num" w:pos="720"/>
        </w:tabs>
        <w:ind w:left="919" w:hanging="199"/>
      </w:pPr>
      <w:rPr>
        <w:rFonts w:ascii="Times New Roman" w:hAnsi="Times New Roman" w:hint="default"/>
      </w:rPr>
    </w:lvl>
    <w:lvl w:ilvl="2" w:tplc="26643BF0" w:tentative="1">
      <w:start w:val="1"/>
      <w:numFmt w:val="bullet"/>
      <w:lvlText w:val=""/>
      <w:lvlJc w:val="left"/>
      <w:pPr>
        <w:tabs>
          <w:tab w:val="num" w:pos="1800"/>
        </w:tabs>
        <w:ind w:left="1800" w:hanging="360"/>
      </w:pPr>
      <w:rPr>
        <w:rFonts w:ascii="Wingdings" w:hAnsi="Wingdings" w:hint="default"/>
      </w:rPr>
    </w:lvl>
    <w:lvl w:ilvl="3" w:tplc="B0B0EF54" w:tentative="1">
      <w:start w:val="1"/>
      <w:numFmt w:val="bullet"/>
      <w:lvlText w:val=""/>
      <w:lvlJc w:val="left"/>
      <w:pPr>
        <w:tabs>
          <w:tab w:val="num" w:pos="2520"/>
        </w:tabs>
        <w:ind w:left="2520" w:hanging="360"/>
      </w:pPr>
      <w:rPr>
        <w:rFonts w:ascii="Symbol" w:hAnsi="Symbol" w:hint="default"/>
      </w:rPr>
    </w:lvl>
    <w:lvl w:ilvl="4" w:tplc="32F2EBB8" w:tentative="1">
      <w:start w:val="1"/>
      <w:numFmt w:val="bullet"/>
      <w:lvlText w:val="o"/>
      <w:lvlJc w:val="left"/>
      <w:pPr>
        <w:tabs>
          <w:tab w:val="num" w:pos="3240"/>
        </w:tabs>
        <w:ind w:left="3240" w:hanging="360"/>
      </w:pPr>
      <w:rPr>
        <w:rFonts w:ascii="Courier New" w:hAnsi="Courier New" w:hint="default"/>
      </w:rPr>
    </w:lvl>
    <w:lvl w:ilvl="5" w:tplc="8280E2EE" w:tentative="1">
      <w:start w:val="1"/>
      <w:numFmt w:val="bullet"/>
      <w:lvlText w:val=""/>
      <w:lvlJc w:val="left"/>
      <w:pPr>
        <w:tabs>
          <w:tab w:val="num" w:pos="3960"/>
        </w:tabs>
        <w:ind w:left="3960" w:hanging="360"/>
      </w:pPr>
      <w:rPr>
        <w:rFonts w:ascii="Wingdings" w:hAnsi="Wingdings" w:hint="default"/>
      </w:rPr>
    </w:lvl>
    <w:lvl w:ilvl="6" w:tplc="55D2DC7A" w:tentative="1">
      <w:start w:val="1"/>
      <w:numFmt w:val="bullet"/>
      <w:lvlText w:val=""/>
      <w:lvlJc w:val="left"/>
      <w:pPr>
        <w:tabs>
          <w:tab w:val="num" w:pos="4680"/>
        </w:tabs>
        <w:ind w:left="4680" w:hanging="360"/>
      </w:pPr>
      <w:rPr>
        <w:rFonts w:ascii="Symbol" w:hAnsi="Symbol" w:hint="default"/>
      </w:rPr>
    </w:lvl>
    <w:lvl w:ilvl="7" w:tplc="C2DE7944" w:tentative="1">
      <w:start w:val="1"/>
      <w:numFmt w:val="bullet"/>
      <w:lvlText w:val="o"/>
      <w:lvlJc w:val="left"/>
      <w:pPr>
        <w:tabs>
          <w:tab w:val="num" w:pos="5400"/>
        </w:tabs>
        <w:ind w:left="5400" w:hanging="360"/>
      </w:pPr>
      <w:rPr>
        <w:rFonts w:ascii="Courier New" w:hAnsi="Courier New" w:hint="default"/>
      </w:rPr>
    </w:lvl>
    <w:lvl w:ilvl="8" w:tplc="96721340"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DBF19D0"/>
    <w:multiLevelType w:val="hybridMultilevel"/>
    <w:tmpl w:val="E2FA54A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77D33662"/>
    <w:multiLevelType w:val="singleLevel"/>
    <w:tmpl w:val="04190001"/>
    <w:lvl w:ilvl="0">
      <w:start w:val="1"/>
      <w:numFmt w:val="bullet"/>
      <w:lvlText w:val=""/>
      <w:lvlJc w:val="left"/>
      <w:pPr>
        <w:tabs>
          <w:tab w:val="num" w:pos="720"/>
        </w:tabs>
        <w:ind w:left="720" w:hanging="360"/>
      </w:pPr>
      <w:rPr>
        <w:rFonts w:ascii="Symbol" w:hAnsi="Symbol" w:hint="default"/>
      </w:rPr>
    </w:lvl>
  </w:abstractNum>
  <w:num w:numId="1">
    <w:abstractNumId w:val="6"/>
  </w:num>
  <w:num w:numId="2">
    <w:abstractNumId w:val="9"/>
  </w:num>
  <w:num w:numId="3">
    <w:abstractNumId w:val="25"/>
  </w:num>
  <w:num w:numId="4">
    <w:abstractNumId w:val="3"/>
  </w:num>
  <w:num w:numId="5">
    <w:abstractNumId w:val="23"/>
  </w:num>
  <w:num w:numId="6">
    <w:abstractNumId w:val="5"/>
  </w:num>
  <w:num w:numId="7">
    <w:abstractNumId w:val="12"/>
  </w:num>
  <w:num w:numId="8">
    <w:abstractNumId w:val="20"/>
  </w:num>
  <w:num w:numId="9">
    <w:abstractNumId w:val="8"/>
  </w:num>
  <w:num w:numId="10">
    <w:abstractNumId w:val="18"/>
  </w:num>
  <w:num w:numId="11">
    <w:abstractNumId w:val="10"/>
  </w:num>
  <w:num w:numId="12">
    <w:abstractNumId w:val="21"/>
  </w:num>
  <w:num w:numId="13">
    <w:abstractNumId w:val="2"/>
  </w:num>
  <w:num w:numId="14">
    <w:abstractNumId w:val="14"/>
  </w:num>
  <w:num w:numId="15">
    <w:abstractNumId w:val="1"/>
  </w:num>
  <w:num w:numId="16">
    <w:abstractNumId w:val="0"/>
  </w:num>
  <w:num w:numId="17">
    <w:abstractNumId w:val="22"/>
  </w:num>
  <w:num w:numId="18">
    <w:abstractNumId w:val="13"/>
  </w:num>
  <w:num w:numId="19">
    <w:abstractNumId w:val="4"/>
  </w:num>
  <w:num w:numId="20">
    <w:abstractNumId w:val="24"/>
  </w:num>
  <w:num w:numId="21">
    <w:abstractNumId w:val="19"/>
  </w:num>
  <w:num w:numId="22">
    <w:abstractNumId w:val="16"/>
  </w:num>
  <w:num w:numId="23">
    <w:abstractNumId w:val="17"/>
  </w:num>
  <w:num w:numId="24">
    <w:abstractNumId w:val="11"/>
  </w:num>
  <w:num w:numId="25">
    <w:abstractNumId w:val="1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566"/>
    <w:rsid w:val="00000A05"/>
    <w:rsid w:val="00004F26"/>
    <w:rsid w:val="000061CF"/>
    <w:rsid w:val="000154F1"/>
    <w:rsid w:val="000304D6"/>
    <w:rsid w:val="00035B63"/>
    <w:rsid w:val="0004073C"/>
    <w:rsid w:val="00041993"/>
    <w:rsid w:val="00044EBC"/>
    <w:rsid w:val="000471D3"/>
    <w:rsid w:val="000476C3"/>
    <w:rsid w:val="000507FC"/>
    <w:rsid w:val="0005582B"/>
    <w:rsid w:val="00062583"/>
    <w:rsid w:val="000672F7"/>
    <w:rsid w:val="00071A85"/>
    <w:rsid w:val="00075172"/>
    <w:rsid w:val="000755E6"/>
    <w:rsid w:val="00082D32"/>
    <w:rsid w:val="00084FD0"/>
    <w:rsid w:val="00087BC6"/>
    <w:rsid w:val="00096268"/>
    <w:rsid w:val="00096E92"/>
    <w:rsid w:val="000A3086"/>
    <w:rsid w:val="000B55B3"/>
    <w:rsid w:val="000B595A"/>
    <w:rsid w:val="000B5B64"/>
    <w:rsid w:val="000B6C9B"/>
    <w:rsid w:val="000D4CB8"/>
    <w:rsid w:val="000D6AEE"/>
    <w:rsid w:val="000E680B"/>
    <w:rsid w:val="000E7734"/>
    <w:rsid w:val="000E78CE"/>
    <w:rsid w:val="000E7B3D"/>
    <w:rsid w:val="000F42C7"/>
    <w:rsid w:val="0010137B"/>
    <w:rsid w:val="001063E1"/>
    <w:rsid w:val="00107E38"/>
    <w:rsid w:val="0012282A"/>
    <w:rsid w:val="00122ED2"/>
    <w:rsid w:val="00123183"/>
    <w:rsid w:val="0013482A"/>
    <w:rsid w:val="0013756C"/>
    <w:rsid w:val="001471F8"/>
    <w:rsid w:val="00153A03"/>
    <w:rsid w:val="0016102A"/>
    <w:rsid w:val="0016126D"/>
    <w:rsid w:val="00164A68"/>
    <w:rsid w:val="00166108"/>
    <w:rsid w:val="00167A9C"/>
    <w:rsid w:val="00170D62"/>
    <w:rsid w:val="00172D16"/>
    <w:rsid w:val="00176D8B"/>
    <w:rsid w:val="00184A10"/>
    <w:rsid w:val="00184D02"/>
    <w:rsid w:val="00186CDE"/>
    <w:rsid w:val="00190FE9"/>
    <w:rsid w:val="00192C6D"/>
    <w:rsid w:val="00197248"/>
    <w:rsid w:val="00197C21"/>
    <w:rsid w:val="001B0A6F"/>
    <w:rsid w:val="001B2111"/>
    <w:rsid w:val="001B45C0"/>
    <w:rsid w:val="001C1AD7"/>
    <w:rsid w:val="001C51C5"/>
    <w:rsid w:val="001D03D7"/>
    <w:rsid w:val="001D0E29"/>
    <w:rsid w:val="001D3422"/>
    <w:rsid w:val="001D4018"/>
    <w:rsid w:val="001E16BB"/>
    <w:rsid w:val="001E20C6"/>
    <w:rsid w:val="001E20EE"/>
    <w:rsid w:val="001E3B8A"/>
    <w:rsid w:val="001E6C94"/>
    <w:rsid w:val="001F46BD"/>
    <w:rsid w:val="002019A7"/>
    <w:rsid w:val="00201B52"/>
    <w:rsid w:val="00202203"/>
    <w:rsid w:val="00206FA6"/>
    <w:rsid w:val="00210B58"/>
    <w:rsid w:val="0021125D"/>
    <w:rsid w:val="00222BC3"/>
    <w:rsid w:val="00223B4F"/>
    <w:rsid w:val="002461AA"/>
    <w:rsid w:val="002506E1"/>
    <w:rsid w:val="00257DA5"/>
    <w:rsid w:val="00264ABA"/>
    <w:rsid w:val="0026500E"/>
    <w:rsid w:val="00266F1E"/>
    <w:rsid w:val="0026721B"/>
    <w:rsid w:val="00272029"/>
    <w:rsid w:val="00281BB0"/>
    <w:rsid w:val="00283376"/>
    <w:rsid w:val="0028355E"/>
    <w:rsid w:val="00287B82"/>
    <w:rsid w:val="00294877"/>
    <w:rsid w:val="00296C1D"/>
    <w:rsid w:val="002A2499"/>
    <w:rsid w:val="002A6BF1"/>
    <w:rsid w:val="002B60EC"/>
    <w:rsid w:val="002C2FEB"/>
    <w:rsid w:val="002C3DB5"/>
    <w:rsid w:val="002C72E8"/>
    <w:rsid w:val="002D15C7"/>
    <w:rsid w:val="002D5378"/>
    <w:rsid w:val="002E1930"/>
    <w:rsid w:val="002E3250"/>
    <w:rsid w:val="002E55E0"/>
    <w:rsid w:val="002E7081"/>
    <w:rsid w:val="002F12DB"/>
    <w:rsid w:val="002F2590"/>
    <w:rsid w:val="0031350C"/>
    <w:rsid w:val="00332095"/>
    <w:rsid w:val="00335991"/>
    <w:rsid w:val="003373D6"/>
    <w:rsid w:val="003547B7"/>
    <w:rsid w:val="00366AE7"/>
    <w:rsid w:val="00370815"/>
    <w:rsid w:val="00370A74"/>
    <w:rsid w:val="00374083"/>
    <w:rsid w:val="00384A6C"/>
    <w:rsid w:val="003857BA"/>
    <w:rsid w:val="003930AE"/>
    <w:rsid w:val="00397785"/>
    <w:rsid w:val="003D6E09"/>
    <w:rsid w:val="003E460C"/>
    <w:rsid w:val="003F6872"/>
    <w:rsid w:val="004042AA"/>
    <w:rsid w:val="00404DFA"/>
    <w:rsid w:val="0040596D"/>
    <w:rsid w:val="004135DB"/>
    <w:rsid w:val="004152B8"/>
    <w:rsid w:val="004177C8"/>
    <w:rsid w:val="00422356"/>
    <w:rsid w:val="00422564"/>
    <w:rsid w:val="00425FA0"/>
    <w:rsid w:val="004266BD"/>
    <w:rsid w:val="00432962"/>
    <w:rsid w:val="0043376C"/>
    <w:rsid w:val="00435237"/>
    <w:rsid w:val="00437F65"/>
    <w:rsid w:val="0044386C"/>
    <w:rsid w:val="00444A97"/>
    <w:rsid w:val="00444C7F"/>
    <w:rsid w:val="00445F76"/>
    <w:rsid w:val="00446D96"/>
    <w:rsid w:val="004571E2"/>
    <w:rsid w:val="00460270"/>
    <w:rsid w:val="00460811"/>
    <w:rsid w:val="0046301C"/>
    <w:rsid w:val="00475ECD"/>
    <w:rsid w:val="00476288"/>
    <w:rsid w:val="0047657F"/>
    <w:rsid w:val="00477A87"/>
    <w:rsid w:val="00483AD8"/>
    <w:rsid w:val="004910A8"/>
    <w:rsid w:val="00491193"/>
    <w:rsid w:val="00492A1E"/>
    <w:rsid w:val="00493063"/>
    <w:rsid w:val="00493761"/>
    <w:rsid w:val="00495CD3"/>
    <w:rsid w:val="004A13B5"/>
    <w:rsid w:val="004B3559"/>
    <w:rsid w:val="004B6566"/>
    <w:rsid w:val="004D179C"/>
    <w:rsid w:val="004D42BF"/>
    <w:rsid w:val="004D4594"/>
    <w:rsid w:val="004E19B2"/>
    <w:rsid w:val="004E2268"/>
    <w:rsid w:val="004E2EEE"/>
    <w:rsid w:val="004E3397"/>
    <w:rsid w:val="004E629B"/>
    <w:rsid w:val="004F7020"/>
    <w:rsid w:val="00501224"/>
    <w:rsid w:val="00505840"/>
    <w:rsid w:val="005117DE"/>
    <w:rsid w:val="00516CA3"/>
    <w:rsid w:val="00526F53"/>
    <w:rsid w:val="005273B8"/>
    <w:rsid w:val="00535F37"/>
    <w:rsid w:val="00536CE6"/>
    <w:rsid w:val="00537B51"/>
    <w:rsid w:val="00542D7C"/>
    <w:rsid w:val="00543D41"/>
    <w:rsid w:val="00545D29"/>
    <w:rsid w:val="00560113"/>
    <w:rsid w:val="00576C90"/>
    <w:rsid w:val="00582310"/>
    <w:rsid w:val="00582BAA"/>
    <w:rsid w:val="00587AC8"/>
    <w:rsid w:val="0059694E"/>
    <w:rsid w:val="0059728D"/>
    <w:rsid w:val="0059769E"/>
    <w:rsid w:val="005A0FFE"/>
    <w:rsid w:val="005A340B"/>
    <w:rsid w:val="005A4AAD"/>
    <w:rsid w:val="005B125E"/>
    <w:rsid w:val="005B3FC7"/>
    <w:rsid w:val="005C060B"/>
    <w:rsid w:val="005C390C"/>
    <w:rsid w:val="005D7909"/>
    <w:rsid w:val="005E24A9"/>
    <w:rsid w:val="005E2F24"/>
    <w:rsid w:val="005E4140"/>
    <w:rsid w:val="005E7AF0"/>
    <w:rsid w:val="005F3FD5"/>
    <w:rsid w:val="005F5727"/>
    <w:rsid w:val="005F6971"/>
    <w:rsid w:val="00601AF6"/>
    <w:rsid w:val="006025F9"/>
    <w:rsid w:val="00603B1C"/>
    <w:rsid w:val="00634403"/>
    <w:rsid w:val="006363D3"/>
    <w:rsid w:val="00637934"/>
    <w:rsid w:val="006450BE"/>
    <w:rsid w:val="0065519A"/>
    <w:rsid w:val="00656513"/>
    <w:rsid w:val="00670DB4"/>
    <w:rsid w:val="00672917"/>
    <w:rsid w:val="00673DEA"/>
    <w:rsid w:val="006741BD"/>
    <w:rsid w:val="00682867"/>
    <w:rsid w:val="0068466F"/>
    <w:rsid w:val="00685BFE"/>
    <w:rsid w:val="00686B52"/>
    <w:rsid w:val="006871C0"/>
    <w:rsid w:val="0069564A"/>
    <w:rsid w:val="006A5FB6"/>
    <w:rsid w:val="006B65DC"/>
    <w:rsid w:val="006B7B27"/>
    <w:rsid w:val="006C4D7F"/>
    <w:rsid w:val="006C6AED"/>
    <w:rsid w:val="006D4D0B"/>
    <w:rsid w:val="006D549E"/>
    <w:rsid w:val="006E00E9"/>
    <w:rsid w:val="006E6AF7"/>
    <w:rsid w:val="006F3E48"/>
    <w:rsid w:val="006F5F9D"/>
    <w:rsid w:val="00703F0B"/>
    <w:rsid w:val="00714F6D"/>
    <w:rsid w:val="00715FDF"/>
    <w:rsid w:val="00726E8C"/>
    <w:rsid w:val="00727CEE"/>
    <w:rsid w:val="00732B86"/>
    <w:rsid w:val="00742798"/>
    <w:rsid w:val="00743550"/>
    <w:rsid w:val="00744612"/>
    <w:rsid w:val="0074622E"/>
    <w:rsid w:val="00746F4F"/>
    <w:rsid w:val="00755738"/>
    <w:rsid w:val="00755D21"/>
    <w:rsid w:val="00757272"/>
    <w:rsid w:val="00757841"/>
    <w:rsid w:val="007606F0"/>
    <w:rsid w:val="00761635"/>
    <w:rsid w:val="0076290A"/>
    <w:rsid w:val="00765FFA"/>
    <w:rsid w:val="00770273"/>
    <w:rsid w:val="007729DB"/>
    <w:rsid w:val="00774E4B"/>
    <w:rsid w:val="00780E59"/>
    <w:rsid w:val="0078162F"/>
    <w:rsid w:val="007916C5"/>
    <w:rsid w:val="007965EE"/>
    <w:rsid w:val="007B3FBB"/>
    <w:rsid w:val="007C524E"/>
    <w:rsid w:val="007D7E2F"/>
    <w:rsid w:val="007E09A7"/>
    <w:rsid w:val="007E3AC0"/>
    <w:rsid w:val="007F0885"/>
    <w:rsid w:val="007F0956"/>
    <w:rsid w:val="007F12FC"/>
    <w:rsid w:val="00800014"/>
    <w:rsid w:val="008047F8"/>
    <w:rsid w:val="00806DC2"/>
    <w:rsid w:val="00811A61"/>
    <w:rsid w:val="008148EB"/>
    <w:rsid w:val="00822090"/>
    <w:rsid w:val="008402C3"/>
    <w:rsid w:val="00856A2C"/>
    <w:rsid w:val="008610CA"/>
    <w:rsid w:val="00861DFE"/>
    <w:rsid w:val="00862DAB"/>
    <w:rsid w:val="008638E5"/>
    <w:rsid w:val="00865668"/>
    <w:rsid w:val="0086650F"/>
    <w:rsid w:val="00870475"/>
    <w:rsid w:val="00871545"/>
    <w:rsid w:val="008726A1"/>
    <w:rsid w:val="00873722"/>
    <w:rsid w:val="00880B16"/>
    <w:rsid w:val="00890479"/>
    <w:rsid w:val="008920E6"/>
    <w:rsid w:val="00892594"/>
    <w:rsid w:val="008A3BE9"/>
    <w:rsid w:val="008A6031"/>
    <w:rsid w:val="008A6410"/>
    <w:rsid w:val="008B05EA"/>
    <w:rsid w:val="008C5072"/>
    <w:rsid w:val="008C7959"/>
    <w:rsid w:val="008E04E7"/>
    <w:rsid w:val="008E3D0D"/>
    <w:rsid w:val="008E3E79"/>
    <w:rsid w:val="008F1D9E"/>
    <w:rsid w:val="008F1E16"/>
    <w:rsid w:val="008F4D36"/>
    <w:rsid w:val="00906691"/>
    <w:rsid w:val="00910C36"/>
    <w:rsid w:val="009119E4"/>
    <w:rsid w:val="00913816"/>
    <w:rsid w:val="00914DA8"/>
    <w:rsid w:val="00915BDC"/>
    <w:rsid w:val="00923109"/>
    <w:rsid w:val="009257E0"/>
    <w:rsid w:val="00932CE3"/>
    <w:rsid w:val="00935CDD"/>
    <w:rsid w:val="009433D1"/>
    <w:rsid w:val="0094532D"/>
    <w:rsid w:val="00947016"/>
    <w:rsid w:val="00951AA4"/>
    <w:rsid w:val="00952059"/>
    <w:rsid w:val="009559D1"/>
    <w:rsid w:val="00964E77"/>
    <w:rsid w:val="00972830"/>
    <w:rsid w:val="0097336B"/>
    <w:rsid w:val="00976BB3"/>
    <w:rsid w:val="00983CD3"/>
    <w:rsid w:val="00983F25"/>
    <w:rsid w:val="00984264"/>
    <w:rsid w:val="00987F2F"/>
    <w:rsid w:val="00990842"/>
    <w:rsid w:val="00991249"/>
    <w:rsid w:val="009A5D09"/>
    <w:rsid w:val="009A7CC2"/>
    <w:rsid w:val="009B14BA"/>
    <w:rsid w:val="009B3EEA"/>
    <w:rsid w:val="009B56DF"/>
    <w:rsid w:val="009B5CB3"/>
    <w:rsid w:val="009B7D60"/>
    <w:rsid w:val="009C0E8F"/>
    <w:rsid w:val="009C309A"/>
    <w:rsid w:val="009C69AF"/>
    <w:rsid w:val="009C7910"/>
    <w:rsid w:val="009D3B13"/>
    <w:rsid w:val="009D5DFD"/>
    <w:rsid w:val="009E1AE6"/>
    <w:rsid w:val="009E720B"/>
    <w:rsid w:val="009F050B"/>
    <w:rsid w:val="00A00B7B"/>
    <w:rsid w:val="00A031CD"/>
    <w:rsid w:val="00A03348"/>
    <w:rsid w:val="00A10473"/>
    <w:rsid w:val="00A242AC"/>
    <w:rsid w:val="00A27B3D"/>
    <w:rsid w:val="00A40CC2"/>
    <w:rsid w:val="00A410C9"/>
    <w:rsid w:val="00A51E12"/>
    <w:rsid w:val="00A619A5"/>
    <w:rsid w:val="00A6439B"/>
    <w:rsid w:val="00A654CE"/>
    <w:rsid w:val="00A660E2"/>
    <w:rsid w:val="00A665EF"/>
    <w:rsid w:val="00A674CB"/>
    <w:rsid w:val="00A7146D"/>
    <w:rsid w:val="00A74ABD"/>
    <w:rsid w:val="00A80D17"/>
    <w:rsid w:val="00A81AE1"/>
    <w:rsid w:val="00A84DD2"/>
    <w:rsid w:val="00A875A2"/>
    <w:rsid w:val="00A952DC"/>
    <w:rsid w:val="00A95432"/>
    <w:rsid w:val="00AA0806"/>
    <w:rsid w:val="00AA1976"/>
    <w:rsid w:val="00AA2ADF"/>
    <w:rsid w:val="00AA595C"/>
    <w:rsid w:val="00AA6402"/>
    <w:rsid w:val="00AB1348"/>
    <w:rsid w:val="00AB4DEB"/>
    <w:rsid w:val="00AD2D33"/>
    <w:rsid w:val="00AD3BB6"/>
    <w:rsid w:val="00AD5A76"/>
    <w:rsid w:val="00AE0BC4"/>
    <w:rsid w:val="00AE4468"/>
    <w:rsid w:val="00AF5130"/>
    <w:rsid w:val="00AF5EC1"/>
    <w:rsid w:val="00B00A93"/>
    <w:rsid w:val="00B04113"/>
    <w:rsid w:val="00B0507A"/>
    <w:rsid w:val="00B13370"/>
    <w:rsid w:val="00B152A1"/>
    <w:rsid w:val="00B15339"/>
    <w:rsid w:val="00B15389"/>
    <w:rsid w:val="00B235FA"/>
    <w:rsid w:val="00B24EB3"/>
    <w:rsid w:val="00B24FD5"/>
    <w:rsid w:val="00B25FC6"/>
    <w:rsid w:val="00B27C8E"/>
    <w:rsid w:val="00B303AB"/>
    <w:rsid w:val="00B318A0"/>
    <w:rsid w:val="00B348CC"/>
    <w:rsid w:val="00B42411"/>
    <w:rsid w:val="00B4638F"/>
    <w:rsid w:val="00B54185"/>
    <w:rsid w:val="00B570AA"/>
    <w:rsid w:val="00B65140"/>
    <w:rsid w:val="00B735C1"/>
    <w:rsid w:val="00B74F7F"/>
    <w:rsid w:val="00B7669F"/>
    <w:rsid w:val="00B8005D"/>
    <w:rsid w:val="00B86204"/>
    <w:rsid w:val="00B90D98"/>
    <w:rsid w:val="00B9316D"/>
    <w:rsid w:val="00B943BD"/>
    <w:rsid w:val="00BA6E49"/>
    <w:rsid w:val="00BA7792"/>
    <w:rsid w:val="00BB1812"/>
    <w:rsid w:val="00BB46E9"/>
    <w:rsid w:val="00BC0038"/>
    <w:rsid w:val="00BD472E"/>
    <w:rsid w:val="00BE07A7"/>
    <w:rsid w:val="00BE38B4"/>
    <w:rsid w:val="00BF036E"/>
    <w:rsid w:val="00BF32E5"/>
    <w:rsid w:val="00BF3F9F"/>
    <w:rsid w:val="00BF7F57"/>
    <w:rsid w:val="00C03B45"/>
    <w:rsid w:val="00C10BF7"/>
    <w:rsid w:val="00C10FB6"/>
    <w:rsid w:val="00C13461"/>
    <w:rsid w:val="00C13A5D"/>
    <w:rsid w:val="00C22AE1"/>
    <w:rsid w:val="00C2378F"/>
    <w:rsid w:val="00C244E4"/>
    <w:rsid w:val="00C307D6"/>
    <w:rsid w:val="00C3758D"/>
    <w:rsid w:val="00C41499"/>
    <w:rsid w:val="00C4234E"/>
    <w:rsid w:val="00C52EE7"/>
    <w:rsid w:val="00C5328E"/>
    <w:rsid w:val="00C537B9"/>
    <w:rsid w:val="00C61836"/>
    <w:rsid w:val="00C632D2"/>
    <w:rsid w:val="00C669C7"/>
    <w:rsid w:val="00C67B38"/>
    <w:rsid w:val="00C87C81"/>
    <w:rsid w:val="00C90C86"/>
    <w:rsid w:val="00C963B6"/>
    <w:rsid w:val="00CA2DB1"/>
    <w:rsid w:val="00CA4D63"/>
    <w:rsid w:val="00CA6829"/>
    <w:rsid w:val="00CB0C2D"/>
    <w:rsid w:val="00CB0D62"/>
    <w:rsid w:val="00CB4D3E"/>
    <w:rsid w:val="00CC339C"/>
    <w:rsid w:val="00CC4DB2"/>
    <w:rsid w:val="00CC7B41"/>
    <w:rsid w:val="00CD782A"/>
    <w:rsid w:val="00CE2D24"/>
    <w:rsid w:val="00CE4EAA"/>
    <w:rsid w:val="00CE6EC9"/>
    <w:rsid w:val="00CF23A1"/>
    <w:rsid w:val="00CF3FA7"/>
    <w:rsid w:val="00CF6070"/>
    <w:rsid w:val="00D00680"/>
    <w:rsid w:val="00D1155A"/>
    <w:rsid w:val="00D15533"/>
    <w:rsid w:val="00D214FE"/>
    <w:rsid w:val="00D343C2"/>
    <w:rsid w:val="00D377F3"/>
    <w:rsid w:val="00D4131F"/>
    <w:rsid w:val="00D4497F"/>
    <w:rsid w:val="00D47260"/>
    <w:rsid w:val="00D5044D"/>
    <w:rsid w:val="00D53472"/>
    <w:rsid w:val="00D542B7"/>
    <w:rsid w:val="00D6795A"/>
    <w:rsid w:val="00D743D1"/>
    <w:rsid w:val="00D779DA"/>
    <w:rsid w:val="00D8391B"/>
    <w:rsid w:val="00D85A7B"/>
    <w:rsid w:val="00D9572C"/>
    <w:rsid w:val="00D95C89"/>
    <w:rsid w:val="00DA0A6D"/>
    <w:rsid w:val="00DA6E45"/>
    <w:rsid w:val="00DA6F27"/>
    <w:rsid w:val="00DB0DB3"/>
    <w:rsid w:val="00DB7A46"/>
    <w:rsid w:val="00DC39AE"/>
    <w:rsid w:val="00DC7E50"/>
    <w:rsid w:val="00DD1EC8"/>
    <w:rsid w:val="00DD5D03"/>
    <w:rsid w:val="00DE080A"/>
    <w:rsid w:val="00DF005E"/>
    <w:rsid w:val="00DF00D2"/>
    <w:rsid w:val="00DF0FEA"/>
    <w:rsid w:val="00DF36ED"/>
    <w:rsid w:val="00DF3E5C"/>
    <w:rsid w:val="00E0136A"/>
    <w:rsid w:val="00E1079A"/>
    <w:rsid w:val="00E155F7"/>
    <w:rsid w:val="00E200A0"/>
    <w:rsid w:val="00E25132"/>
    <w:rsid w:val="00E252F2"/>
    <w:rsid w:val="00E33B14"/>
    <w:rsid w:val="00E342DC"/>
    <w:rsid w:val="00E3533C"/>
    <w:rsid w:val="00E35CC7"/>
    <w:rsid w:val="00E42D10"/>
    <w:rsid w:val="00E4566A"/>
    <w:rsid w:val="00E5006A"/>
    <w:rsid w:val="00E51FCC"/>
    <w:rsid w:val="00E52D41"/>
    <w:rsid w:val="00E65556"/>
    <w:rsid w:val="00E65B91"/>
    <w:rsid w:val="00E70171"/>
    <w:rsid w:val="00E73A9B"/>
    <w:rsid w:val="00E875A6"/>
    <w:rsid w:val="00E900DB"/>
    <w:rsid w:val="00E95E09"/>
    <w:rsid w:val="00E95F6B"/>
    <w:rsid w:val="00E969B8"/>
    <w:rsid w:val="00E97285"/>
    <w:rsid w:val="00EA2A0E"/>
    <w:rsid w:val="00EB4774"/>
    <w:rsid w:val="00EB4D11"/>
    <w:rsid w:val="00EC7470"/>
    <w:rsid w:val="00ED1412"/>
    <w:rsid w:val="00ED7398"/>
    <w:rsid w:val="00EF1E6D"/>
    <w:rsid w:val="00EF220F"/>
    <w:rsid w:val="00F06690"/>
    <w:rsid w:val="00F12966"/>
    <w:rsid w:val="00F12D3F"/>
    <w:rsid w:val="00F143DF"/>
    <w:rsid w:val="00F22E84"/>
    <w:rsid w:val="00F23801"/>
    <w:rsid w:val="00F33055"/>
    <w:rsid w:val="00F35519"/>
    <w:rsid w:val="00F3573A"/>
    <w:rsid w:val="00F35F8C"/>
    <w:rsid w:val="00F43457"/>
    <w:rsid w:val="00F46D62"/>
    <w:rsid w:val="00F52841"/>
    <w:rsid w:val="00F52A17"/>
    <w:rsid w:val="00F55E96"/>
    <w:rsid w:val="00F5716C"/>
    <w:rsid w:val="00F57457"/>
    <w:rsid w:val="00F61C4C"/>
    <w:rsid w:val="00F628CB"/>
    <w:rsid w:val="00F657F6"/>
    <w:rsid w:val="00F8073D"/>
    <w:rsid w:val="00F80F17"/>
    <w:rsid w:val="00F84520"/>
    <w:rsid w:val="00F872A5"/>
    <w:rsid w:val="00F9252D"/>
    <w:rsid w:val="00F95461"/>
    <w:rsid w:val="00F955F0"/>
    <w:rsid w:val="00FA3041"/>
    <w:rsid w:val="00FA3127"/>
    <w:rsid w:val="00FA76AB"/>
    <w:rsid w:val="00FB336A"/>
    <w:rsid w:val="00FB3A8E"/>
    <w:rsid w:val="00FB3B2F"/>
    <w:rsid w:val="00FC0A3D"/>
    <w:rsid w:val="00FC0BC1"/>
    <w:rsid w:val="00FC299B"/>
    <w:rsid w:val="00FD274D"/>
    <w:rsid w:val="00FD2871"/>
    <w:rsid w:val="00FD55D7"/>
    <w:rsid w:val="00FF2D93"/>
    <w:rsid w:val="00FF538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DD9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A03"/>
    <w:rPr>
      <w:sz w:val="20"/>
      <w:szCs w:val="20"/>
    </w:rPr>
  </w:style>
  <w:style w:type="paragraph" w:styleId="1">
    <w:name w:val="heading 1"/>
    <w:basedOn w:val="a"/>
    <w:next w:val="a"/>
    <w:link w:val="10"/>
    <w:uiPriority w:val="99"/>
    <w:qFormat/>
    <w:rsid w:val="00153A03"/>
    <w:pPr>
      <w:keepNext/>
      <w:ind w:right="-142"/>
      <w:jc w:val="center"/>
      <w:outlineLvl w:val="0"/>
    </w:pPr>
    <w:rPr>
      <w:rFonts w:ascii="Cambria" w:hAnsi="Cambria"/>
      <w:b/>
      <w:bCs/>
      <w:kern w:val="32"/>
      <w:sz w:val="32"/>
      <w:szCs w:val="32"/>
      <w:lang w:eastAsia="ja-JP"/>
    </w:rPr>
  </w:style>
  <w:style w:type="paragraph" w:styleId="2">
    <w:name w:val="heading 2"/>
    <w:basedOn w:val="a"/>
    <w:next w:val="a"/>
    <w:link w:val="20"/>
    <w:uiPriority w:val="99"/>
    <w:qFormat/>
    <w:rsid w:val="00153A03"/>
    <w:pPr>
      <w:keepNext/>
      <w:ind w:right="-142"/>
      <w:jc w:val="center"/>
      <w:outlineLvl w:val="1"/>
    </w:pPr>
    <w:rPr>
      <w:rFonts w:ascii="Cambria" w:hAnsi="Cambria"/>
      <w:b/>
      <w:bCs/>
      <w:i/>
      <w:iCs/>
      <w:sz w:val="28"/>
      <w:szCs w:val="28"/>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66AE7"/>
    <w:rPr>
      <w:rFonts w:ascii="Cambria" w:hAnsi="Cambria" w:cs="Times New Roman"/>
      <w:b/>
      <w:kern w:val="32"/>
      <w:sz w:val="32"/>
    </w:rPr>
  </w:style>
  <w:style w:type="character" w:customStyle="1" w:styleId="20">
    <w:name w:val="Заголовок 2 Знак"/>
    <w:basedOn w:val="a0"/>
    <w:link w:val="2"/>
    <w:uiPriority w:val="99"/>
    <w:semiHidden/>
    <w:locked/>
    <w:rsid w:val="00366AE7"/>
    <w:rPr>
      <w:rFonts w:ascii="Cambria" w:hAnsi="Cambria" w:cs="Times New Roman"/>
      <w:b/>
      <w:i/>
      <w:sz w:val="28"/>
    </w:rPr>
  </w:style>
  <w:style w:type="paragraph" w:customStyle="1" w:styleId="11">
    <w:name w:val="Обычный1"/>
    <w:uiPriority w:val="99"/>
    <w:rsid w:val="00153A03"/>
    <w:rPr>
      <w:sz w:val="20"/>
      <w:szCs w:val="20"/>
    </w:rPr>
  </w:style>
  <w:style w:type="character" w:customStyle="1" w:styleId="12">
    <w:name w:val="Номер страницы1"/>
    <w:uiPriority w:val="99"/>
    <w:rsid w:val="00153A03"/>
  </w:style>
  <w:style w:type="paragraph" w:customStyle="1" w:styleId="13">
    <w:name w:val="Нижний колонтитул1"/>
    <w:basedOn w:val="11"/>
    <w:uiPriority w:val="99"/>
    <w:rsid w:val="00153A03"/>
    <w:pPr>
      <w:tabs>
        <w:tab w:val="center" w:pos="4153"/>
        <w:tab w:val="right" w:pos="8306"/>
      </w:tabs>
    </w:pPr>
  </w:style>
  <w:style w:type="paragraph" w:styleId="a3">
    <w:name w:val="header"/>
    <w:basedOn w:val="a"/>
    <w:link w:val="a4"/>
    <w:uiPriority w:val="99"/>
    <w:rsid w:val="00670DB4"/>
    <w:pPr>
      <w:tabs>
        <w:tab w:val="center" w:pos="4677"/>
        <w:tab w:val="right" w:pos="9355"/>
      </w:tabs>
    </w:pPr>
    <w:rPr>
      <w:lang w:eastAsia="ja-JP"/>
    </w:rPr>
  </w:style>
  <w:style w:type="character" w:customStyle="1" w:styleId="a4">
    <w:name w:val="Верхний колонтитул Знак"/>
    <w:basedOn w:val="a0"/>
    <w:link w:val="a3"/>
    <w:uiPriority w:val="99"/>
    <w:locked/>
    <w:rsid w:val="00366AE7"/>
    <w:rPr>
      <w:rFonts w:cs="Times New Roman"/>
      <w:sz w:val="20"/>
    </w:rPr>
  </w:style>
  <w:style w:type="paragraph" w:styleId="a5">
    <w:name w:val="footer"/>
    <w:basedOn w:val="a"/>
    <w:link w:val="a6"/>
    <w:uiPriority w:val="99"/>
    <w:rsid w:val="00670DB4"/>
    <w:pPr>
      <w:tabs>
        <w:tab w:val="center" w:pos="4677"/>
        <w:tab w:val="right" w:pos="9355"/>
      </w:tabs>
    </w:pPr>
    <w:rPr>
      <w:lang w:eastAsia="ja-JP"/>
    </w:rPr>
  </w:style>
  <w:style w:type="character" w:customStyle="1" w:styleId="a6">
    <w:name w:val="Нижний колонтитул Знак"/>
    <w:basedOn w:val="a0"/>
    <w:link w:val="a5"/>
    <w:uiPriority w:val="99"/>
    <w:locked/>
    <w:rsid w:val="00366AE7"/>
    <w:rPr>
      <w:rFonts w:cs="Times New Roman"/>
      <w:sz w:val="20"/>
    </w:rPr>
  </w:style>
  <w:style w:type="paragraph" w:styleId="a7">
    <w:name w:val="No Spacing"/>
    <w:uiPriority w:val="99"/>
    <w:qFormat/>
    <w:rsid w:val="009559D1"/>
    <w:rPr>
      <w:rFonts w:ascii="Calibri" w:hAnsi="Calibri"/>
      <w:lang w:eastAsia="en-US"/>
    </w:rPr>
  </w:style>
  <w:style w:type="paragraph" w:customStyle="1" w:styleId="Normal2">
    <w:name w:val="Normal2"/>
    <w:uiPriority w:val="99"/>
    <w:rsid w:val="00682867"/>
    <w:rPr>
      <w:sz w:val="20"/>
      <w:szCs w:val="20"/>
      <w:lang w:eastAsia="en-US"/>
    </w:rPr>
  </w:style>
  <w:style w:type="paragraph" w:customStyle="1" w:styleId="110">
    <w:name w:val="Обычный11"/>
    <w:uiPriority w:val="99"/>
    <w:rsid w:val="006A5FB6"/>
    <w:pPr>
      <w:snapToGrid w:val="0"/>
    </w:pPr>
    <w:rPr>
      <w:sz w:val="20"/>
      <w:szCs w:val="20"/>
    </w:rPr>
  </w:style>
  <w:style w:type="character" w:styleId="a8">
    <w:name w:val="Hyperlink"/>
    <w:basedOn w:val="a0"/>
    <w:uiPriority w:val="99"/>
    <w:rsid w:val="00686B52"/>
    <w:rPr>
      <w:rFonts w:cs="Times New Roman"/>
      <w:color w:val="0000FF"/>
      <w:u w:val="single"/>
    </w:rPr>
  </w:style>
  <w:style w:type="table" w:styleId="a9">
    <w:name w:val="Table Grid"/>
    <w:basedOn w:val="a1"/>
    <w:uiPriority w:val="99"/>
    <w:rsid w:val="005E7AF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rsid w:val="00976BB3"/>
    <w:rPr>
      <w:sz w:val="2"/>
      <w:lang w:eastAsia="ja-JP"/>
    </w:rPr>
  </w:style>
  <w:style w:type="character" w:customStyle="1" w:styleId="ab">
    <w:name w:val="Текст выноски Знак"/>
    <w:basedOn w:val="a0"/>
    <w:link w:val="aa"/>
    <w:uiPriority w:val="99"/>
    <w:semiHidden/>
    <w:locked/>
    <w:rsid w:val="00366AE7"/>
    <w:rPr>
      <w:rFonts w:cs="Times New Roman"/>
      <w:sz w:val="2"/>
    </w:rPr>
  </w:style>
  <w:style w:type="paragraph" w:styleId="ac">
    <w:name w:val="Revision"/>
    <w:hidden/>
    <w:uiPriority w:val="99"/>
    <w:semiHidden/>
    <w:rsid w:val="00000A05"/>
    <w:rPr>
      <w:sz w:val="20"/>
      <w:szCs w:val="20"/>
    </w:rPr>
  </w:style>
  <w:style w:type="character" w:styleId="ad">
    <w:name w:val="annotation reference"/>
    <w:basedOn w:val="a0"/>
    <w:uiPriority w:val="99"/>
    <w:rsid w:val="00000A05"/>
    <w:rPr>
      <w:rFonts w:cs="Times New Roman"/>
      <w:sz w:val="16"/>
    </w:rPr>
  </w:style>
  <w:style w:type="paragraph" w:styleId="ae">
    <w:name w:val="annotation text"/>
    <w:basedOn w:val="a"/>
    <w:link w:val="af"/>
    <w:uiPriority w:val="99"/>
    <w:rsid w:val="00000A05"/>
    <w:rPr>
      <w:lang w:eastAsia="ja-JP"/>
    </w:rPr>
  </w:style>
  <w:style w:type="character" w:customStyle="1" w:styleId="af">
    <w:name w:val="Текст примечания Знак"/>
    <w:basedOn w:val="a0"/>
    <w:link w:val="ae"/>
    <w:uiPriority w:val="99"/>
    <w:locked/>
    <w:rsid w:val="00000A05"/>
    <w:rPr>
      <w:rFonts w:cs="Times New Roman"/>
    </w:rPr>
  </w:style>
  <w:style w:type="paragraph" w:styleId="af0">
    <w:name w:val="annotation subject"/>
    <w:basedOn w:val="ae"/>
    <w:next w:val="ae"/>
    <w:link w:val="af1"/>
    <w:uiPriority w:val="99"/>
    <w:rsid w:val="00000A05"/>
    <w:rPr>
      <w:b/>
    </w:rPr>
  </w:style>
  <w:style w:type="character" w:customStyle="1" w:styleId="af1">
    <w:name w:val="Тема примечания Знак"/>
    <w:basedOn w:val="af"/>
    <w:link w:val="af0"/>
    <w:uiPriority w:val="99"/>
    <w:locked/>
    <w:rsid w:val="00000A05"/>
    <w:rPr>
      <w:rFonts w:cs="Times New Roman"/>
      <w:b/>
    </w:rPr>
  </w:style>
  <w:style w:type="character" w:customStyle="1" w:styleId="apple-converted-space">
    <w:name w:val="apple-converted-space"/>
    <w:uiPriority w:val="99"/>
    <w:rsid w:val="004135DB"/>
  </w:style>
  <w:style w:type="paragraph" w:styleId="af2">
    <w:name w:val="Normal (Web)"/>
    <w:basedOn w:val="a"/>
    <w:uiPriority w:val="99"/>
    <w:rsid w:val="004135DB"/>
    <w:pPr>
      <w:spacing w:before="100" w:beforeAutospacing="1" w:after="100" w:afterAutospacing="1"/>
    </w:pPr>
    <w:rPr>
      <w:rFonts w:eastAsia="MS Mincho"/>
      <w:sz w:val="24"/>
      <w:szCs w:val="24"/>
      <w:lang w:eastAsia="ja-JP"/>
    </w:rPr>
  </w:style>
  <w:style w:type="paragraph" w:styleId="af3">
    <w:name w:val="Body Text"/>
    <w:basedOn w:val="a"/>
    <w:link w:val="af4"/>
    <w:uiPriority w:val="99"/>
    <w:rsid w:val="00862DAB"/>
    <w:pPr>
      <w:spacing w:after="120"/>
    </w:pPr>
    <w:rPr>
      <w:sz w:val="24"/>
      <w:szCs w:val="24"/>
      <w:lang w:eastAsia="ja-JP"/>
    </w:rPr>
  </w:style>
  <w:style w:type="character" w:customStyle="1" w:styleId="af4">
    <w:name w:val="Основной текст Знак"/>
    <w:basedOn w:val="a0"/>
    <w:link w:val="af3"/>
    <w:uiPriority w:val="99"/>
    <w:locked/>
    <w:rsid w:val="00862DAB"/>
    <w:rPr>
      <w:rFonts w:cs="Times New Roman"/>
      <w:sz w:val="24"/>
      <w:lang w:val="en-GB" w:eastAsia="ja-JP"/>
    </w:rPr>
  </w:style>
  <w:style w:type="paragraph" w:styleId="af5">
    <w:name w:val="List Paragraph"/>
    <w:basedOn w:val="a"/>
    <w:uiPriority w:val="99"/>
    <w:qFormat/>
    <w:rsid w:val="00296C1D"/>
    <w:pPr>
      <w:ind w:left="720"/>
      <w:contextualSpacing/>
    </w:pPr>
  </w:style>
  <w:style w:type="table" w:customStyle="1" w:styleId="TableGrid1">
    <w:name w:val="Table Grid1"/>
    <w:basedOn w:val="a1"/>
    <w:next w:val="a9"/>
    <w:uiPriority w:val="39"/>
    <w:rsid w:val="0037408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64232">
      <w:marLeft w:val="0"/>
      <w:marRight w:val="0"/>
      <w:marTop w:val="0"/>
      <w:marBottom w:val="0"/>
      <w:divBdr>
        <w:top w:val="none" w:sz="0" w:space="0" w:color="auto"/>
        <w:left w:val="none" w:sz="0" w:space="0" w:color="auto"/>
        <w:bottom w:val="none" w:sz="0" w:space="0" w:color="auto"/>
        <w:right w:val="none" w:sz="0" w:space="0" w:color="auto"/>
      </w:divBdr>
    </w:div>
    <w:div w:id="174464233">
      <w:marLeft w:val="0"/>
      <w:marRight w:val="0"/>
      <w:marTop w:val="0"/>
      <w:marBottom w:val="0"/>
      <w:divBdr>
        <w:top w:val="none" w:sz="0" w:space="0" w:color="auto"/>
        <w:left w:val="none" w:sz="0" w:space="0" w:color="auto"/>
        <w:bottom w:val="none" w:sz="0" w:space="0" w:color="auto"/>
        <w:right w:val="none" w:sz="0" w:space="0" w:color="auto"/>
      </w:divBdr>
    </w:div>
    <w:div w:id="174464234">
      <w:marLeft w:val="0"/>
      <w:marRight w:val="0"/>
      <w:marTop w:val="0"/>
      <w:marBottom w:val="0"/>
      <w:divBdr>
        <w:top w:val="none" w:sz="0" w:space="0" w:color="auto"/>
        <w:left w:val="none" w:sz="0" w:space="0" w:color="auto"/>
        <w:bottom w:val="none" w:sz="0" w:space="0" w:color="auto"/>
        <w:right w:val="none" w:sz="0" w:space="0" w:color="auto"/>
      </w:divBdr>
    </w:div>
    <w:div w:id="1744642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info@petrovax.r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adr@petrovax.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44ADA-717F-418E-85AF-EF1FA70CB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2549</Words>
  <Characters>14535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2020-10-29T13:25:00Z</dcterms:created>
  <dcterms:modified xsi:type="dcterms:W3CDTF">2020-11-05T17:05:00Z</dcterms:modified>
</cp:coreProperties>
</file>